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sz w:val="20"/>
          <w:szCs w:val="20"/>
        </w:rPr>
      </w:pPr>
      <w:r>
        <w:rPr>
          <w:rFonts w:cs="Arial" w:ascii="Verdana" w:hAnsi="Verdana"/>
          <w:b/>
          <w:bCs/>
          <w:smallCaps/>
          <w:color w:val="000000"/>
          <w:sz w:val="20"/>
          <w:szCs w:val="20"/>
        </w:rPr>
        <w:t xml:space="preserve">EDITAL </w:t>
      </w:r>
    </w:p>
    <w:p>
      <w:pPr>
        <w:pStyle w:val="Normal"/>
        <w:spacing w:lineRule="auto" w:line="240"/>
        <w:jc w:val="center"/>
        <w:rPr>
          <w:rFonts w:ascii="Verdana" w:hAnsi="Verdana"/>
          <w:sz w:val="20"/>
          <w:szCs w:val="20"/>
        </w:rPr>
      </w:pPr>
      <w:r>
        <w:rPr>
          <w:rFonts w:cs="Arial" w:ascii="Verdana" w:hAnsi="Verdana"/>
          <w:b/>
          <w:bCs/>
          <w:smallCaps/>
          <w:color w:val="000000"/>
          <w:sz w:val="20"/>
          <w:szCs w:val="20"/>
        </w:rPr>
        <w:t>PREGÃO ELETRÔNICO Nº 010/2026</w:t>
      </w:r>
    </w:p>
    <w:p>
      <w:pPr>
        <w:pStyle w:val="Normal"/>
        <w:spacing w:lineRule="auto" w:line="240"/>
        <w:jc w:val="center"/>
        <w:rPr>
          <w:rFonts w:ascii="Verdana" w:hAnsi="Verdana"/>
          <w:sz w:val="20"/>
          <w:szCs w:val="20"/>
        </w:rPr>
      </w:pPr>
      <w:r>
        <w:rPr>
          <w:rFonts w:cs="Arial" w:ascii="Verdana" w:hAnsi="Verdana"/>
          <w:b/>
          <w:smallCaps/>
          <w:color w:val="000000"/>
          <w:sz w:val="20"/>
          <w:szCs w:val="20"/>
        </w:rPr>
        <w:t>(Processo Administrativo n° 01154/2026 de 13/02/2026)</w:t>
      </w:r>
    </w:p>
    <w:p>
      <w:pPr>
        <w:pStyle w:val="Normal"/>
        <w:spacing w:lineRule="auto" w:line="240" w:before="57" w:after="57"/>
        <w:jc w:val="center"/>
        <w:rPr>
          <w:rFonts w:ascii="Verdana" w:hAnsi="Verdana"/>
          <w:sz w:val="20"/>
          <w:szCs w:val="20"/>
        </w:rPr>
      </w:pPr>
      <w:r>
        <w:rPr>
          <w:rFonts w:ascii="Verdana" w:hAnsi="Verdana"/>
          <w:sz w:val="20"/>
          <w:szCs w:val="20"/>
        </w:rPr>
      </w:r>
    </w:p>
    <w:p>
      <w:pPr>
        <w:pStyle w:val="BodyText"/>
        <w:spacing w:lineRule="auto" w:line="240" w:before="0" w:after="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0" w:after="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0" w:after="0"/>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16/04</w:t>
      </w:r>
      <w:r>
        <w:rPr>
          <w:rFonts w:cs="Arial" w:ascii="Verdana" w:hAnsi="Verdana"/>
          <w:b/>
          <w:bCs/>
          <w:color w:val="000000"/>
          <w:sz w:val="20"/>
          <w:szCs w:val="20"/>
        </w:rPr>
        <w:t>/2026.</w:t>
      </w:r>
    </w:p>
    <w:p>
      <w:pPr>
        <w:pStyle w:val="Normal"/>
        <w:spacing w:lineRule="auto" w:line="240" w:before="0" w:after="0"/>
        <w:rPr>
          <w:rFonts w:ascii="Verdana" w:hAnsi="Verdana"/>
          <w:sz w:val="20"/>
          <w:szCs w:val="20"/>
        </w:rPr>
      </w:pPr>
      <w:r>
        <w:rPr>
          <w:rFonts w:cs="Arial" w:ascii="Verdana" w:hAnsi="Verdana"/>
          <w:b/>
          <w:bCs/>
          <w:color w:val="000000"/>
          <w:sz w:val="20"/>
          <w:szCs w:val="20"/>
        </w:rPr>
        <w:t>Horário: 13h00min.</w:t>
      </w:r>
    </w:p>
    <w:p>
      <w:pPr>
        <w:pStyle w:val="Normal"/>
        <w:spacing w:lineRule="auto" w:line="240" w:before="0" w:after="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ListLabel190"/>
            <w:rFonts w:cs="Arial" w:ascii="Verdana" w:hAnsi="Verdana"/>
            <w:b/>
            <w:bCs/>
            <w:color w:val="0563C1"/>
            <w:sz w:val="20"/>
            <w:szCs w:val="20"/>
            <w:u w:val="single"/>
          </w:rPr>
          <w:t>www.portaldecompraspublicas.com.br</w:t>
        </w:r>
      </w:hyperlink>
      <w:bookmarkEnd w:id="0"/>
    </w:p>
    <w:p>
      <w:pPr>
        <w:pStyle w:val="Normal"/>
        <w:spacing w:lineRule="auto" w:line="240" w:before="0" w:after="0"/>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OBJETO</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1.1 O objeto da presente licitação é a aquisição de gêneros alimentícios para em atendimento ao Programa Nacional de Alimentação Escolar – PNAE para atender as necessidades da Secretaria Municipal de Educação</w:t>
      </w:r>
      <w:r>
        <w:rPr>
          <w:rFonts w:eastAsia="Batang;바탕" w:cs="Arial" w:ascii="Verdana" w:hAnsi="Verdana"/>
          <w:color w:val="000000"/>
          <w:kern w:val="2"/>
          <w:sz w:val="20"/>
          <w:szCs w:val="20"/>
          <w:lang w:eastAsia="en-US" w:bidi="pt-BR"/>
        </w:rPr>
        <w:t>, deste município, conforme c</w:t>
      </w:r>
      <w:r>
        <w:rPr>
          <w:rFonts w:cs="Arial" w:ascii="Verdana" w:hAnsi="Verdana"/>
          <w:sz w:val="20"/>
          <w:szCs w:val="20"/>
        </w:rPr>
        <w:t>ondições, quantidades e exigências estabelecidas neste Edital e seus anexos.</w:t>
      </w:r>
    </w:p>
    <w:p>
      <w:pPr>
        <w:pStyle w:val="Normal"/>
        <w:spacing w:lineRule="auto" w:line="240" w:before="0" w:after="0"/>
        <w:jc w:val="both"/>
        <w:rPr>
          <w:rFonts w:ascii="Verdana" w:hAnsi="Verdana"/>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Default"/>
        <w:tabs>
          <w:tab w:val="clear" w:pos="720"/>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40" w:before="0" w:after="0"/>
        <w:jc w:val="both"/>
        <w:rPr>
          <w:rFonts w:ascii="Verdana" w:hAnsi="Verdana"/>
          <w:sz w:val="20"/>
          <w:szCs w:val="20"/>
        </w:rPr>
      </w:pPr>
      <w:r>
        <w:rPr>
          <w:rFonts w:ascii="Verdana" w:hAnsi="Verdana"/>
          <w:sz w:val="20"/>
          <w:szCs w:val="20"/>
          <w:shd w:fill="FFFF00" w:val="clear"/>
        </w:rPr>
        <w:t xml:space="preserve"> </w:t>
      </w:r>
      <w:r>
        <w:rPr>
          <w:rFonts w:ascii="Verdana" w:hAnsi="Verdana"/>
          <w:b/>
          <w:sz w:val="20"/>
          <w:szCs w:val="20"/>
          <w:shd w:fill="FFFF00" w:val="clear"/>
        </w:rPr>
        <w:t xml:space="preserve">1.3 A licitação ocorrerá com exclusividade para as microempresas e ou empresas de pequeno porte. </w:t>
      </w:r>
    </w:p>
    <w:p>
      <w:pPr>
        <w:pStyle w:val="Default"/>
        <w:spacing w:lineRule="auto" w:line="240"/>
        <w:rPr>
          <w:rFonts w:ascii="Verdana" w:hAnsi="Verdana"/>
          <w:b/>
          <w:sz w:val="20"/>
          <w:szCs w:val="20"/>
        </w:rPr>
      </w:pPr>
      <w:r>
        <w:rPr>
          <w:rFonts w:ascii="Verdana" w:hAnsi="Verdana"/>
          <w:b/>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rPr>
        <w:t>DOS RECURSOS ORÇAMENTÁRIOS</w:t>
      </w:r>
    </w:p>
    <w:p>
      <w:pPr>
        <w:pStyle w:val="Normal"/>
        <w:spacing w:lineRule="auto" w:line="240" w:before="0" w:after="0"/>
        <w:jc w:val="both"/>
        <w:rPr>
          <w:rFonts w:ascii="Verdana" w:hAnsi="Verdana"/>
          <w:sz w:val="20"/>
          <w:szCs w:val="20"/>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numPr>
          <w:ilvl w:val="0"/>
          <w:numId w:val="4"/>
        </w:numPr>
        <w:spacing w:lineRule="auto" w:line="240" w:before="57" w:after="57"/>
        <w:ind w:hanging="0" w:left="0"/>
        <w:jc w:val="both"/>
        <w:rPr>
          <w:rFonts w:ascii="Verdana" w:hAnsi="Verdana"/>
          <w:sz w:val="20"/>
          <w:szCs w:val="20"/>
        </w:rPr>
      </w:pPr>
      <w:r>
        <w:rPr>
          <w:rFonts w:cs="Times New Roman" w:ascii="Verdana" w:hAnsi="Verdana"/>
          <w:b/>
          <w:bCs/>
          <w:sz w:val="20"/>
          <w:szCs w:val="20"/>
          <w:lang w:eastAsia="ar-SA"/>
        </w:rPr>
        <w:t xml:space="preserve">Secretaria Municipal de Educação: </w:t>
      </w:r>
      <w:r>
        <w:rPr>
          <w:rFonts w:cs="Times New Roman" w:ascii="Verdana" w:hAnsi="Verdana"/>
          <w:color w:val="000000"/>
          <w:sz w:val="20"/>
          <w:szCs w:val="20"/>
          <w:lang w:eastAsia="ar-SA"/>
        </w:rPr>
        <w:t>Ficha/Fonte: 598 – 15000000000000.</w:t>
      </w:r>
    </w:p>
    <w:p>
      <w:pPr>
        <w:pStyle w:val="Normal"/>
        <w:spacing w:lineRule="auto" w:line="240" w:before="0" w:after="0"/>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CREDENCIAMENTO</w:t>
      </w:r>
    </w:p>
    <w:p>
      <w:pPr>
        <w:pStyle w:val="Default"/>
        <w:spacing w:lineRule="auto" w:line="240" w:before="57" w:after="57"/>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before="57" w:after="57"/>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before="57" w:after="57"/>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before="57" w:after="57"/>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40" w:before="57" w:after="57"/>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before="57" w:after="57"/>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rPr>
        <w:t>DA PARTICIPAÇÃO NO PREGÃO.</w:t>
      </w:r>
    </w:p>
    <w:p>
      <w:pPr>
        <w:pStyle w:val="Normal"/>
        <w:spacing w:lineRule="auto" w:line="240" w:before="57" w:after="57"/>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57" w:after="57"/>
        <w:jc w:val="both"/>
        <w:rPr>
          <w:rFonts w:ascii="Verdana" w:hAnsi="Verdana"/>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57" w:after="57"/>
        <w:jc w:val="both"/>
        <w:rPr>
          <w:rFonts w:ascii="Verdana" w:hAnsi="Verdana"/>
          <w:sz w:val="20"/>
          <w:szCs w:val="20"/>
        </w:rPr>
      </w:pPr>
      <w:r>
        <w:rPr>
          <w:rFonts w:cs="Arial" w:ascii="Verdana" w:hAnsi="Verdana"/>
          <w:bCs/>
          <w:iCs/>
          <w:color w:val="000000"/>
          <w:sz w:val="20"/>
          <w:szCs w:val="20"/>
        </w:rPr>
        <w:t>4.2.1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40" w:before="57" w:after="57"/>
        <w:jc w:val="both"/>
        <w:rPr>
          <w:rFonts w:ascii="Verdana" w:hAnsi="Verdana"/>
          <w:sz w:val="20"/>
          <w:szCs w:val="20"/>
        </w:rPr>
      </w:pPr>
      <w:r>
        <w:rPr>
          <w:rFonts w:cs="Arial" w:ascii="Verdana" w:hAnsi="Verdana"/>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cs="Arial" w:ascii="Verdana" w:hAnsi="Verdana"/>
          <w:b/>
          <w:sz w:val="20"/>
          <w:szCs w:val="20"/>
        </w:rPr>
        <w:t xml:space="preserve">junto a sua documentação de habilitação, todas as certidões relativas a regularidade fiscal, mesmo que contenham alguma restrição, e ainda, </w:t>
      </w:r>
      <w:r>
        <w:rPr>
          <w:rFonts w:cs="Arial" w:ascii="Verdana" w:hAnsi="Verdana"/>
          <w:b/>
          <w:bCs/>
          <w:sz w:val="20"/>
          <w:szCs w:val="20"/>
        </w:rPr>
        <w:t>a certidão expedida pela Junta Comercial da região sede da empresa,</w:t>
      </w:r>
      <w:r>
        <w:rPr>
          <w:rFonts w:cs="Arial" w:ascii="Verdana" w:hAnsi="Verdana"/>
          <w:sz w:val="20"/>
          <w:szCs w:val="20"/>
        </w:rPr>
        <w:t xml:space="preserve"> demonstrando a situação de enquadramento, emitida a partir do ano de </w:t>
      </w:r>
      <w:r>
        <w:rPr>
          <w:rFonts w:cs="Arial" w:ascii="Verdana" w:hAnsi="Verdana"/>
          <w:b/>
          <w:color w:val="FF0000"/>
          <w:sz w:val="20"/>
          <w:szCs w:val="20"/>
        </w:rPr>
        <w:t xml:space="preserve">2026, </w:t>
      </w:r>
      <w:r>
        <w:rPr>
          <w:rFonts w:cs="Arial" w:ascii="Verdana" w:hAnsi="Verdana"/>
          <w:sz w:val="20"/>
          <w:szCs w:val="20"/>
        </w:rPr>
        <w:t>sob pena de perda do direito de gozo dos referidos benefícios</w:t>
      </w:r>
      <w:r>
        <w:rPr>
          <w:rFonts w:cs="Arial" w:ascii="Verdana" w:hAnsi="Verdana"/>
          <w:bCs/>
          <w:sz w:val="20"/>
          <w:szCs w:val="20"/>
        </w:rPr>
        <w:t>.</w:t>
      </w:r>
    </w:p>
    <w:p>
      <w:pPr>
        <w:pStyle w:val="Normal"/>
        <w:snapToGrid w:val="false"/>
        <w:spacing w:lineRule="auto" w:line="240" w:before="57" w:after="57"/>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bCs/>
          <w:color w:val="000000"/>
          <w:sz w:val="20"/>
          <w:szCs w:val="20"/>
        </w:rPr>
        <w:t>4.3.3 A</w:t>
      </w:r>
      <w:bookmarkStart w:id="1"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1"/>
    </w:p>
    <w:p>
      <w:pPr>
        <w:pStyle w:val="Normal"/>
        <w:tabs>
          <w:tab w:val="clear" w:pos="720"/>
          <w:tab w:val="left" w:pos="1440" w:leader="none"/>
        </w:tabs>
        <w:snapToGrid w:val="false"/>
        <w:spacing w:lineRule="auto" w:line="240" w:before="57" w:after="57"/>
        <w:jc w:val="both"/>
        <w:rPr>
          <w:rFonts w:ascii="Verdana" w:hAnsi="Verdana"/>
          <w:sz w:val="20"/>
          <w:szCs w:val="20"/>
        </w:rPr>
      </w:pPr>
      <w:r>
        <w:rPr>
          <w:rFonts w:eastAsia="Arial Unicode MS" w:cs="Arial" w:ascii="Verdana" w:hAnsi="Verdana"/>
          <w:color w:val="000000"/>
          <w:sz w:val="20"/>
          <w:szCs w:val="20"/>
        </w:rPr>
        <w:t>4.3.4 E</w:t>
      </w:r>
      <w:bookmarkStart w:id="2"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4.3.5 P</w:t>
      </w:r>
      <w:bookmarkStart w:id="3"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3"/>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4.3.7 E</w:t>
      </w:r>
      <w:bookmarkStart w:id="4" w:name="_Ref113883579"/>
      <w:r>
        <w:rPr>
          <w:rFonts w:cs="Arial" w:ascii="Verdana" w:hAnsi="Verdana"/>
          <w:color w:val="000000"/>
          <w:sz w:val="20"/>
          <w:szCs w:val="20"/>
        </w:rPr>
        <w:t>mpresas controladoras, controladas ou coligadas, nos termos da Lei nº 6.404, de 15 de dezembro de 1976, concorrendo entre si;</w:t>
      </w:r>
      <w:bookmarkEnd w:id="4"/>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57" w:after="57"/>
        <w:jc w:val="both"/>
        <w:rPr>
          <w:rFonts w:ascii="Verdana" w:hAnsi="Verdana"/>
          <w:sz w:val="20"/>
          <w:szCs w:val="20"/>
        </w:rPr>
      </w:pPr>
      <w:r>
        <w:rPr>
          <w:rFonts w:cs="Arial" w:ascii="Verdana" w:hAnsi="Verdana"/>
          <w:color w:val="000000"/>
          <w:sz w:val="20"/>
          <w:szCs w:val="20"/>
        </w:rPr>
        <w:t>4.3.9 A</w:t>
      </w:r>
      <w:bookmarkStart w:id="5" w:name="_Ref113962336"/>
      <w:r>
        <w:rPr>
          <w:rFonts w:cs="Arial" w:ascii="Verdana" w:hAnsi="Verdana"/>
          <w:color w:val="000000"/>
          <w:sz w:val="20"/>
          <w:szCs w:val="20"/>
        </w:rPr>
        <w:t>gente público do órgão ou entidade licitante;</w:t>
      </w:r>
      <w:bookmarkEnd w:id="5"/>
    </w:p>
    <w:p>
      <w:pPr>
        <w:pStyle w:val="Normal"/>
        <w:snapToGrid w:val="false"/>
        <w:spacing w:lineRule="auto" w:line="240" w:before="57" w:after="57"/>
        <w:jc w:val="both"/>
        <w:rPr>
          <w:rFonts w:ascii="Verdana" w:hAnsi="Verdana"/>
          <w:sz w:val="20"/>
          <w:szCs w:val="20"/>
        </w:rPr>
      </w:pPr>
      <w:r>
        <w:rPr>
          <w:rFonts w:cs="Arial" w:ascii="Verdana" w:hAnsi="Verdana"/>
          <w:bCs/>
          <w:color w:val="000000"/>
          <w:sz w:val="20"/>
          <w:szCs w:val="20"/>
        </w:rPr>
        <w:t>4.3.10 Pessoas jurídicas reunidas em consórcio;</w:t>
      </w:r>
    </w:p>
    <w:p>
      <w:pPr>
        <w:pStyle w:val="Normal"/>
        <w:snapToGrid w:val="false"/>
        <w:spacing w:lineRule="auto" w:line="240" w:before="57" w:after="57"/>
        <w:jc w:val="both"/>
        <w:rPr>
          <w:rFonts w:ascii="Verdana" w:hAnsi="Verdana"/>
          <w:sz w:val="20"/>
          <w:szCs w:val="20"/>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40"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57" w:after="57"/>
        <w:ind w:hanging="0" w:left="0"/>
        <w:rPr>
          <w:rFonts w:ascii="Verdana" w:hAnsi="Verdana"/>
          <w:sz w:val="20"/>
          <w:szCs w:val="20"/>
        </w:rPr>
      </w:pPr>
      <w:r>
        <w:rPr>
          <w:rFonts w:eastAsia="Segoe UI"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57" w:after="57"/>
        <w:ind w:hanging="0" w:left="0"/>
        <w:rPr>
          <w:rFonts w:ascii="Verdana" w:hAnsi="Verdana"/>
          <w:sz w:val="20"/>
          <w:szCs w:val="20"/>
        </w:rPr>
      </w:pPr>
      <w:bookmarkStart w:id="6" w:name="art14§2"/>
      <w:bookmarkEnd w:id="6"/>
      <w:r>
        <w:rPr>
          <w:rFonts w:eastAsia="Segoe UI" w:cs="Arial" w:ascii="Verdana" w:hAnsi="Verdana"/>
          <w:bCs/>
          <w:color w:val="000000"/>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57" w:after="57"/>
        <w:ind w:hanging="0" w:left="0"/>
        <w:rPr>
          <w:rFonts w:ascii="Verdana" w:hAnsi="Verdana"/>
          <w:sz w:val="20"/>
          <w:szCs w:val="20"/>
        </w:rPr>
      </w:pPr>
      <w:bookmarkStart w:id="7" w:name="art14§3"/>
      <w:bookmarkEnd w:id="7"/>
      <w:r>
        <w:rPr>
          <w:rFonts w:eastAsia="Segoe UI" w:cs="Arial" w:ascii="Verdana" w:hAnsi="Verdana"/>
          <w:bCs/>
          <w:color w:val="000000"/>
          <w:sz w:val="20"/>
          <w:szCs w:val="20"/>
        </w:rPr>
        <w:t>4.6 Equiparam-se aos autores do projeto as empresas integrantes do mesmo grupo econômico.</w:t>
      </w:r>
    </w:p>
    <w:p>
      <w:pPr>
        <w:pStyle w:val="Nivel2"/>
        <w:numPr>
          <w:ilvl w:val="0"/>
          <w:numId w:val="0"/>
        </w:numPr>
        <w:spacing w:lineRule="auto" w:line="240" w:before="57" w:after="57"/>
        <w:ind w:hanging="0" w:left="0"/>
        <w:rPr>
          <w:rFonts w:ascii="Verdana" w:hAnsi="Verdana"/>
          <w:sz w:val="20"/>
          <w:szCs w:val="20"/>
        </w:rPr>
      </w:pPr>
      <w:bookmarkStart w:id="8" w:name="art14§4"/>
      <w:bookmarkEnd w:id="8"/>
      <w:r>
        <w:rPr>
          <w:rFonts w:eastAsia="Segoe UI" w:cs="Arial" w:ascii="Verdana" w:hAnsi="Verdana"/>
          <w:bCs/>
          <w:color w:val="000000"/>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57" w:after="57"/>
        <w:ind w:hanging="0" w:left="0"/>
        <w:rPr/>
      </w:pPr>
      <w:bookmarkStart w:id="9" w:name="art14§5"/>
      <w:bookmarkEnd w:id="9"/>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240" w:before="0" w:after="0"/>
        <w:ind w:hanging="0" w:left="0"/>
        <w:rPr>
          <w:rFonts w:ascii="Verdana" w:hAnsi="Verdana"/>
          <w:sz w:val="20"/>
          <w:szCs w:val="2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40" w:before="0" w:after="0"/>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DA APRESENTAÇÃO DA PROPOSTA E DOS DOCUMENTOS DE HABILITAÇÃO</w:t>
      </w:r>
    </w:p>
    <w:p>
      <w:pPr>
        <w:pStyle w:val="Normal"/>
        <w:numPr>
          <w:ilvl w:val="1"/>
          <w:numId w:val="14"/>
        </w:numPr>
        <w:tabs>
          <w:tab w:val="clear" w:pos="720"/>
          <w:tab w:val="left" w:pos="450" w:leader="none"/>
          <w:tab w:val="left" w:pos="1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5"/>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6"/>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7"/>
        </w:numPr>
        <w:tabs>
          <w:tab w:val="clear" w:pos="720"/>
          <w:tab w:val="left" w:pos="450" w:leader="none"/>
        </w:tabs>
        <w:spacing w:lineRule="auto" w:line="240"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8"/>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9"/>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0"/>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1"/>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40"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rPr>
        <w:t>DO PREENCHIMENTO DA PROPOSTA</w:t>
      </w:r>
    </w:p>
    <w:p>
      <w:pPr>
        <w:pStyle w:val="Normal"/>
        <w:numPr>
          <w:ilvl w:val="1"/>
          <w:numId w:val="2"/>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240" w:before="57" w:after="57"/>
        <w:ind w:hanging="0" w:left="0"/>
        <w:jc w:val="both"/>
        <w:rPr>
          <w:rFonts w:ascii="Verdana" w:hAnsi="Verdana"/>
          <w:sz w:val="20"/>
          <w:szCs w:val="20"/>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240" w:before="57" w:after="57"/>
        <w:jc w:val="both"/>
        <w:rPr>
          <w:rFonts w:ascii="Verdana" w:hAnsi="Verdana"/>
          <w:sz w:val="20"/>
          <w:szCs w:val="20"/>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240" w:before="57" w:after="57"/>
        <w:jc w:val="both"/>
        <w:rPr>
          <w:rFonts w:ascii="Verdana" w:hAnsi="Verdana"/>
          <w:sz w:val="20"/>
          <w:szCs w:val="20"/>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240" w:before="0" w:after="0"/>
        <w:jc w:val="both"/>
        <w:rPr>
          <w:rFonts w:ascii="Verdana" w:hAnsi="Verdana"/>
          <w:sz w:val="20"/>
          <w:szCs w:val="20"/>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lineRule="auto" w:line="240" w:before="0" w:after="0"/>
        <w:ind w:hanging="0" w:left="0"/>
        <w:rPr>
          <w:rFonts w:ascii="Verdana" w:hAnsi="Verdana" w:eastAsia="Segoe UI" w:cs="Arial"/>
          <w:color w:val="000000"/>
          <w:sz w:val="20"/>
          <w:szCs w:val="20"/>
        </w:rPr>
      </w:pPr>
      <w:r>
        <w:rPr>
          <w:rFonts w:eastAsia="Segoe UI"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57" w:after="57"/>
        <w:ind w:hanging="0" w:left="0"/>
        <w:rPr>
          <w:rFonts w:ascii="Verdana" w:hAnsi="Verdana"/>
          <w:sz w:val="20"/>
          <w:szCs w:val="2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7.10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7.11. Encerrado o prazo previsto no item anterior, o sistema abrir</w:t>
      </w:r>
      <w:r>
        <w:rPr>
          <w:rFonts w:ascii="Verdana" w:hAnsi="Verdana"/>
          <w:sz w:val="20"/>
          <w:szCs w:val="20"/>
        </w:rPr>
        <w:t>á oportunidade para que o autor da oferta de valor mais baixo e os das ofertas com preços até dez por cento superior àquela possam ofertar um lance final e fechado em até cinco minutos, o qual será sigiloso até o encerramento deste prazo.</w:t>
      </w:r>
    </w:p>
    <w:p>
      <w:pPr>
        <w:pStyle w:val="Normal"/>
        <w:spacing w:lineRule="auto" w:line="240" w:before="57" w:after="57"/>
        <w:jc w:val="both"/>
        <w:rPr>
          <w:rFonts w:ascii="Verdana" w:hAnsi="Verdana"/>
          <w:sz w:val="20"/>
          <w:szCs w:val="20"/>
        </w:rPr>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pacing w:lineRule="auto" w:line="240" w:before="57" w:after="57"/>
        <w:jc w:val="both"/>
        <w:rPr>
          <w:rFonts w:ascii="Verdana" w:hAnsi="Verdana"/>
          <w:sz w:val="20"/>
          <w:szCs w:val="20"/>
        </w:rPr>
      </w:pPr>
      <w:r>
        <w:rPr>
          <w:rFonts w:ascii="Verdana" w:hAnsi="Verdana"/>
          <w:sz w:val="20"/>
          <w:szCs w:val="20"/>
        </w:rPr>
        <w:t>7.12. Após o término dos prazos estabelecidos nos itens anteriores, o sistema ordenará os lances segundo a ordem crescente de valores.</w:t>
      </w:r>
    </w:p>
    <w:p>
      <w:pPr>
        <w:pStyle w:val="Normal"/>
        <w:spacing w:lineRule="auto" w:line="240" w:before="57" w:after="57"/>
        <w:jc w:val="both"/>
        <w:rPr>
          <w:rFonts w:ascii="Verdana" w:hAnsi="Verdana"/>
          <w:sz w:val="20"/>
          <w:szCs w:val="20"/>
        </w:rPr>
      </w:pPr>
      <w:r>
        <w:rPr>
          <w:rFonts w:ascii="Verdana" w:hAnsi="Verdana"/>
          <w:sz w:val="20"/>
          <w:szCs w:val="20"/>
        </w:rPr>
        <w:t>7.12.1.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pPr>
        <w:pStyle w:val="Normal"/>
        <w:spacing w:lineRule="auto" w:line="240" w:before="57" w:after="57"/>
        <w:jc w:val="both"/>
        <w:rPr>
          <w:rFonts w:ascii="Verdana" w:hAnsi="Verdana"/>
          <w:sz w:val="20"/>
          <w:szCs w:val="20"/>
        </w:rPr>
      </w:pPr>
      <w:r>
        <w:rPr>
          <w:rFonts w:ascii="Verdana" w:hAnsi="Verdana"/>
          <w:sz w:val="20"/>
          <w:szCs w:val="20"/>
        </w:rPr>
        <w:t>7.13. Poderá o(a) Pregoeiro(a), auxiliado pela Equipe de Apoio, justificadamente, admitir o reinício da etapa fechada, caso nenhum licitante classificado na etapa de lance fechado atender às exigências de habilitação.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7.14 Não serão aceitos dois ou mais lances de mesmo valor, prevalecendo aquele que for recebido e registrado em primeiro lugar.</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7.15 Durante o transcurso da sessão pública, os licitantes serão informados, em tempo real, do valor do menor lance registrado, vedada a identificação do licitante. </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7.16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pPr>
        <w:pStyle w:val="Normal"/>
        <w:spacing w:lineRule="auto" w:line="240" w:before="57" w:after="57"/>
        <w:jc w:val="both"/>
        <w:rPr>
          <w:rFonts w:ascii="Verdana" w:hAnsi="Verdana"/>
          <w:sz w:val="20"/>
          <w:szCs w:val="20"/>
        </w:rPr>
      </w:pPr>
      <w:r>
        <w:rPr>
          <w:rFonts w:cs="Arial" w:ascii="Verdana" w:hAnsi="Verdana"/>
          <w:color w:val="000000"/>
          <w:sz w:val="20"/>
          <w:szCs w:val="20"/>
        </w:rPr>
        <w:t>7.18 O Critério de julgamento adotado será o menor preço, conforme definido neste Edital e seus anexos.</w:t>
      </w:r>
    </w:p>
    <w:p>
      <w:pPr>
        <w:pStyle w:val="Normal"/>
        <w:spacing w:lineRule="auto" w:line="240" w:before="57" w:after="57"/>
        <w:jc w:val="both"/>
        <w:rPr>
          <w:rFonts w:ascii="Verdana" w:hAnsi="Verdana"/>
          <w:sz w:val="20"/>
          <w:szCs w:val="20"/>
        </w:rPr>
      </w:pPr>
      <w:r>
        <w:rPr>
          <w:rFonts w:cs="Arial" w:ascii="Verdana" w:hAnsi="Verdana"/>
          <w:color w:val="000000"/>
          <w:sz w:val="20"/>
          <w:szCs w:val="20"/>
        </w:rPr>
        <w:t>7.19 Caso o licitante não apresente lances, concorrerá com o valor de sua proposta.</w:t>
      </w:r>
    </w:p>
    <w:p>
      <w:pPr>
        <w:pStyle w:val="Normal"/>
        <w:spacing w:lineRule="auto" w:line="240" w:before="57" w:after="57"/>
        <w:jc w:val="both"/>
        <w:rPr>
          <w:rFonts w:ascii="Verdana" w:hAnsi="Verdana"/>
          <w:sz w:val="20"/>
          <w:szCs w:val="20"/>
        </w:rPr>
      </w:pPr>
      <w:r>
        <w:rPr>
          <w:rFonts w:cs="Arial" w:ascii="Verdana" w:hAnsi="Verdana"/>
          <w:color w:val="000000"/>
          <w:sz w:val="20"/>
          <w:szCs w:val="20"/>
        </w:rPr>
        <w:t>7.20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rFonts w:ascii="Verdana" w:hAnsi="Verdana"/>
          <w:sz w:val="20"/>
          <w:szCs w:val="20"/>
        </w:rPr>
      </w:pPr>
      <w:r>
        <w:rPr>
          <w:rFonts w:cs="Arial" w:ascii="Verdana" w:hAnsi="Verdana"/>
          <w:color w:val="000000"/>
          <w:sz w:val="20"/>
          <w:szCs w:val="20"/>
        </w:rPr>
        <w:t>7.21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rFonts w:ascii="Verdana" w:hAnsi="Verdana"/>
          <w:sz w:val="20"/>
          <w:szCs w:val="20"/>
        </w:rPr>
      </w:pPr>
      <w:r>
        <w:rPr>
          <w:rFonts w:cs="Arial" w:ascii="Verdana" w:hAnsi="Verdana"/>
          <w:color w:val="000000"/>
          <w:sz w:val="20"/>
          <w:szCs w:val="20"/>
        </w:rPr>
        <w:t>7.22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rFonts w:ascii="Verdana" w:hAnsi="Verdana"/>
          <w:sz w:val="20"/>
          <w:szCs w:val="20"/>
        </w:rPr>
      </w:pPr>
      <w:r>
        <w:rPr>
          <w:rFonts w:cs="Arial" w:ascii="Verdana" w:hAnsi="Verdana"/>
          <w:color w:val="000000"/>
          <w:sz w:val="20"/>
          <w:szCs w:val="20"/>
        </w:rPr>
        <w:t>7.23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rFonts w:ascii="Verdana" w:hAnsi="Verdana"/>
          <w:sz w:val="20"/>
          <w:szCs w:val="20"/>
        </w:rPr>
      </w:pPr>
      <w:r>
        <w:rPr>
          <w:rFonts w:cs="Arial" w:ascii="Verdana" w:hAnsi="Verdana"/>
          <w:color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7.25 Só poderá haver empate entre propostas iguais (não seguidas de lances), ou entre lances finais da fase fechada do modo de disputa aberto e fechado. </w:t>
      </w:r>
    </w:p>
    <w:p>
      <w:pPr>
        <w:pStyle w:val="Normal"/>
        <w:spacing w:lineRule="auto" w:line="240" w:before="57" w:after="57"/>
        <w:jc w:val="both"/>
        <w:rPr>
          <w:rFonts w:ascii="Verdana" w:hAnsi="Verdana"/>
          <w:sz w:val="20"/>
          <w:szCs w:val="20"/>
        </w:rPr>
      </w:pPr>
      <w:r>
        <w:rPr>
          <w:rFonts w:cs="Arial" w:ascii="Verdana" w:hAnsi="Verdana"/>
          <w:color w:val="000000"/>
          <w:sz w:val="20"/>
          <w:szCs w:val="20"/>
        </w:rPr>
        <w:t>7.26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jc w:val="both"/>
        <w:rPr>
          <w:rFonts w:ascii="Verdana" w:hAnsi="Verdana"/>
          <w:sz w:val="20"/>
          <w:szCs w:val="20"/>
        </w:rPr>
      </w:pPr>
      <w:r>
        <w:rPr>
          <w:rFonts w:cs="Arial" w:ascii="Verdana" w:hAnsi="Verdana"/>
          <w:color w:val="000000"/>
          <w:sz w:val="20"/>
          <w:szCs w:val="20"/>
        </w:rPr>
        <w:t>7.26.1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7.26.2 No país;</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7.26.3 Por empresas brasileiras;</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7.26.4 Por empresas que invistam em pesquisa e no desenvolvimento de tecnologia no País;</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7.26.5 Por empresas que comprovem cumprimento de reserva de cargos prevista em lei para pessoa com deficiência ou para reabilitado da Previdência Social e que atendam às regras de acessibilidade previstas na legislação.</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 xml:space="preserve">7.27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rFonts w:ascii="Verdana" w:hAnsi="Verdana"/>
          <w:sz w:val="20"/>
          <w:szCs w:val="20"/>
        </w:rPr>
      </w:pPr>
      <w:r>
        <w:rPr>
          <w:rFonts w:cs="Arial" w:ascii="Verdana" w:hAnsi="Verdana"/>
          <w:color w:val="000000"/>
          <w:sz w:val="20"/>
          <w:szCs w:val="20"/>
        </w:rPr>
        <w:t>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7.28.1 A negociação será realizada por meio do sistema, podendo ser acompanhada pelos demais licitantes.</w:t>
      </w:r>
    </w:p>
    <w:p>
      <w:pPr>
        <w:pStyle w:val="ListParagraph"/>
        <w:tabs>
          <w:tab w:val="clear" w:pos="720"/>
          <w:tab w:val="left" w:pos="-12" w:leader="none"/>
        </w:tabs>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7.28.2 O pregoeiro solicitará ao licitante melhor classificado que, no prazo de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7.29 Após a negociação do preço, o Pregoeiro iniciará a fase de aceitação e julgamento da proposta.</w:t>
      </w:r>
    </w:p>
    <w:p>
      <w:pPr>
        <w:pStyle w:val="ListParagraph"/>
        <w:tabs>
          <w:tab w:val="clear" w:pos="720"/>
          <w:tab w:val="left" w:pos="-12" w:leader="none"/>
        </w:tabs>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tabs>
          <w:tab w:val="clear" w:pos="567"/>
          <w:tab w:val="left" w:pos="517" w:leader="none"/>
        </w:tabs>
        <w:spacing w:lineRule="auto" w:line="240" w:before="0" w:after="0"/>
        <w:ind w:hanging="0" w:left="0"/>
        <w:rPr>
          <w:rFonts w:ascii="Verdana" w:hAnsi="Verdana"/>
          <w:sz w:val="20"/>
          <w:szCs w:val="20"/>
        </w:rPr>
      </w:pPr>
      <w:r>
        <w:rPr>
          <w:rFonts w:cs="Arial" w:ascii="Verdana" w:hAnsi="Verdana"/>
          <w:sz w:val="20"/>
          <w:szCs w:val="20"/>
          <w:lang w:eastAsia="en-US"/>
        </w:rPr>
        <w:t>DA ACEITABILIDADE DA PROPOSTA VENCEDORA.</w:t>
      </w:r>
    </w:p>
    <w:p>
      <w:pPr>
        <w:pStyle w:val="ListParagraph"/>
        <w:numPr>
          <w:ilvl w:val="1"/>
          <w:numId w:val="2"/>
        </w:numPr>
        <w:tabs>
          <w:tab w:val="clear" w:pos="720"/>
          <w:tab w:val="left" w:pos="517" w:leader="none"/>
        </w:tabs>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91"/>
          <w:sz w:val="20"/>
          <w:u w:val="single"/>
          <w:szCs w:val="20"/>
          <w:rFonts w:cs="Arial" w:ascii="Verdana" w:hAnsi="Verdana"/>
          <w:color w:val="000080"/>
        </w:rPr>
        <w:fldChar w:fldCharType="separate"/>
      </w:r>
      <w:r>
        <w:rPr>
          <w:rStyle w:val="ListLabel191"/>
          <w:rFonts w:cs="Arial" w:ascii="Verdana" w:hAnsi="Verdana"/>
          <w:color w:val="000080"/>
          <w:sz w:val="20"/>
          <w:szCs w:val="20"/>
          <w:u w:val="single"/>
        </w:rPr>
        <w:t>artigo 29 a 35 da IN SEGES nº 73, de 30 de setembro de 2022</w:t>
      </w:r>
      <w:r>
        <w:rPr>
          <w:rStyle w:val="ListLabel1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8.6.1 não estiver em conformidade com os requisitos estabelecidos neste edital;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8.6.2 contenha vício insanável ou ilegalidade;</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8.6.3 não apresente as especificações técnicas exigidas pelo Termo de Referência;</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8.6.4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8.6.4.1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8.6.4.1.1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8.6.4.1.2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8.6.4.2 A fim de assegurar o tratamento isonômico entre as licitantes, informa-se que foram utilizadas as seguintes convenções coletivas de trabalho no cálculo do valor estimado pela Administração. </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É vedado à proponente incluir na Planilha de Custos e Formação de Preços:</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8.7.1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8.7.2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8.7.3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8.7.4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8.7.5 rubrica para pagamento do Imposto de Renda Pessoa Jurídica – IRPJ e da Contribuição Social Sobre o Lucro Líquido – CSLL;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8.7.6 rubrica denominada “verba” ou “verba provisional”, pois o item não está vinculado a qualquer contraprestação mensurável.</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8.8.1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40" w:before="57" w:after="57"/>
        <w:jc w:val="both"/>
        <w:rPr/>
      </w:pPr>
      <w:r>
        <w:rPr>
          <w:rFonts w:ascii="Verdana" w:hAnsi="Verdana"/>
          <w:sz w:val="20"/>
          <w:szCs w:val="20"/>
        </w:rPr>
        <w:t xml:space="preserve">8.11.1 As propostas com preços próximos ou inferiores ao mínimo estabelecido pela Prefeitura Municipal de São Gabriel da Palha, disponibilizado em meio eletrônico, no </w:t>
      </w:r>
      <w:r>
        <w:rPr>
          <w:rFonts w:cs="Arial" w:ascii="Verdana" w:hAnsi="Verdana"/>
          <w:color w:val="000000"/>
          <w:sz w:val="20"/>
          <w:szCs w:val="20"/>
        </w:rPr>
        <w:t xml:space="preserve">Portal de Compras Públicas – </w:t>
      </w:r>
      <w:hyperlink r:id="rId3">
        <w:bookmarkStart w:id="10" w:name="_Hlk123138684_Copia_2"/>
        <w:r>
          <w:rPr>
            <w:rStyle w:val="ListLabel190"/>
            <w:rFonts w:cs="Arial" w:ascii="Verdana" w:hAnsi="Verdana"/>
            <w:b/>
            <w:bCs/>
            <w:color w:val="0563C1"/>
            <w:sz w:val="20"/>
            <w:szCs w:val="20"/>
            <w:u w:val="single"/>
          </w:rPr>
          <w:t>www.portaldecompraspublicas.com.br</w:t>
        </w:r>
      </w:hyperlink>
      <w:bookmarkEnd w:id="10"/>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8.12.1.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8.13.1 É facultado ao pregoeiro prorrogar o prazo estabelecido, a partir de solicitação fundamentada feita no chat pelo licitante, antes de findo o prazo.</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lang w:eastAsia="en-US"/>
        </w:rPr>
        <w:t>8.13.2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0" w:after="0"/>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0" w:after="0"/>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0" w:after="0"/>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240" w:before="57" w:after="57"/>
        <w:ind w:hanging="0" w:left="0"/>
        <w:rPr>
          <w:rFonts w:ascii="Verdana" w:hAnsi="Verdana"/>
          <w:sz w:val="20"/>
          <w:szCs w:val="2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40"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1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1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1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1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lineRule="auto" w:line="240" w:before="57" w:after="57"/>
        <w:ind w:hanging="0" w:left="0"/>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lineRule="auto" w:line="240" w:before="57" w:after="57"/>
        <w:ind w:hanging="0" w:left="0"/>
        <w:rPr>
          <w:rFonts w:ascii="Verdana" w:hAnsi="Verdana"/>
          <w:sz w:val="20"/>
          <w:szCs w:val="20"/>
        </w:rPr>
      </w:pPr>
      <w:r>
        <w:rPr>
          <w:rFonts w:cs="Arial" w:ascii="Verdana" w:hAnsi="Verdana"/>
          <w:sz w:val="20"/>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lineRule="auto" w:line="240" w:before="57" w:after="57"/>
        <w:ind w:hanging="0" w:left="0"/>
        <w:rPr>
          <w:rFonts w:ascii="Verdana" w:hAnsi="Verdana"/>
          <w:sz w:val="20"/>
          <w:szCs w:val="20"/>
        </w:rPr>
      </w:pPr>
      <w:r>
        <w:rPr>
          <w:rFonts w:cs="Arial" w:ascii="Verdana" w:hAnsi="Verdana"/>
          <w:sz w:val="20"/>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lineRule="auto" w:line="240" w:before="57" w:after="57"/>
        <w:ind w:hanging="0" w:left="0"/>
        <w:rPr>
          <w:rFonts w:ascii="Verdana" w:hAnsi="Verdana"/>
          <w:sz w:val="20"/>
          <w:szCs w:val="20"/>
        </w:rPr>
      </w:pPr>
      <w:r>
        <w:rPr>
          <w:rFonts w:cs="Arial" w:ascii="Verdana" w:hAnsi="Verdana"/>
          <w:sz w:val="20"/>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lineRule="auto" w:line="240" w:before="57" w:after="57"/>
        <w:ind w:hanging="0" w:left="0"/>
        <w:rPr>
          <w:rFonts w:ascii="Verdana" w:hAnsi="Verdana"/>
          <w:sz w:val="20"/>
          <w:szCs w:val="20"/>
        </w:rPr>
      </w:pPr>
      <w:r>
        <w:rPr>
          <w:rFonts w:cs="Arial" w:ascii="Verdana" w:hAnsi="Verdana"/>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1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20"/>
          <w:tab w:val="left" w:pos="617" w:leader="none"/>
        </w:tabs>
        <w:snapToGrid w:val="false"/>
        <w:spacing w:lineRule="auto" w:line="240"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20"/>
          <w:tab w:val="left" w:pos="617" w:leader="none"/>
        </w:tabs>
        <w:snapToGrid w:val="false"/>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
        </w:numPr>
        <w:tabs>
          <w:tab w:val="clear" w:pos="720"/>
          <w:tab w:val="left" w:pos="850"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Constatado o atendimento às exigências de habilitação fixadas no Edital, o licitante será declarado vencedor.</w:t>
      </w:r>
    </w:p>
    <w:p>
      <w:pPr>
        <w:pStyle w:val="Normal"/>
        <w:spacing w:lineRule="auto" w:line="240" w:before="57" w:after="57"/>
        <w:jc w:val="both"/>
        <w:rPr>
          <w:rFonts w:ascii="Verdana" w:hAnsi="Verdana"/>
          <w:sz w:val="20"/>
          <w:szCs w:val="20"/>
        </w:rPr>
      </w:pPr>
      <w:r>
        <w:rPr>
          <w:rFonts w:ascii="Verdana" w:hAnsi="Verdana"/>
          <w:b/>
          <w:bCs/>
          <w:sz w:val="20"/>
          <w:szCs w:val="20"/>
        </w:rPr>
        <w:t>9.21 DAS AMOSTRAS</w:t>
      </w:r>
    </w:p>
    <w:p>
      <w:pPr>
        <w:pStyle w:val="Normal"/>
        <w:spacing w:lineRule="auto" w:line="240" w:before="57" w:after="57"/>
        <w:jc w:val="both"/>
        <w:rPr>
          <w:rFonts w:ascii="Verdana" w:hAnsi="Verdana"/>
          <w:sz w:val="20"/>
          <w:szCs w:val="20"/>
        </w:rPr>
      </w:pPr>
      <w:r>
        <w:rPr>
          <w:rFonts w:cs="Arial" w:ascii="Verdana" w:hAnsi="Verdana"/>
          <w:sz w:val="20"/>
          <w:szCs w:val="20"/>
        </w:rPr>
        <w:t>9.22.</w:t>
      </w:r>
      <w:r>
        <w:rPr>
          <w:rFonts w:cs="Arial" w:ascii="Verdana" w:hAnsi="Verdana"/>
          <w:b/>
          <w:sz w:val="20"/>
          <w:szCs w:val="20"/>
        </w:rPr>
        <w:t xml:space="preserve"> </w:t>
      </w:r>
      <w:r>
        <w:rPr>
          <w:rFonts w:cs="Arial" w:ascii="Verdana" w:hAnsi="Verdana"/>
          <w:sz w:val="20"/>
          <w:szCs w:val="20"/>
        </w:rPr>
        <w:t xml:space="preserve">As amostras deverão ser apresentadas em no Máximo 2 (dois) dias úteis após </w:t>
      </w:r>
      <w:r>
        <w:rPr>
          <w:rFonts w:eastAsia="Times New Roman" w:cs="Arial" w:ascii="Verdana" w:hAnsi="Verdana"/>
          <w:sz w:val="20"/>
          <w:szCs w:val="20"/>
        </w:rPr>
        <w:t>o certame licitatório</w:t>
      </w:r>
      <w:r>
        <w:rPr>
          <w:rFonts w:cs="Arial" w:ascii="Verdana" w:hAnsi="Verdana"/>
          <w:sz w:val="20"/>
          <w:szCs w:val="20"/>
        </w:rPr>
        <w:t>, podendo o prazo ser prorrogado ou a entrega ser dispensada, a pedido da contratante, desde que através de solicitação devidamente justificada e aceita;</w:t>
      </w:r>
    </w:p>
    <w:p>
      <w:pPr>
        <w:pStyle w:val="Normal"/>
        <w:spacing w:lineRule="auto" w:line="240" w:before="57" w:after="57"/>
        <w:jc w:val="both"/>
        <w:rPr>
          <w:rFonts w:ascii="Verdana" w:hAnsi="Verdana"/>
          <w:sz w:val="20"/>
          <w:szCs w:val="20"/>
        </w:rPr>
      </w:pPr>
      <w:r>
        <w:rPr>
          <w:rFonts w:cs="Arial" w:ascii="Verdana" w:hAnsi="Verdana"/>
          <w:sz w:val="20"/>
          <w:szCs w:val="20"/>
        </w:rPr>
        <w:t>9.23. Os produtos apresentados como amostras poderão ser abertos, manuseados e consumidos.</w:t>
      </w:r>
    </w:p>
    <w:p>
      <w:pPr>
        <w:pStyle w:val="Normal"/>
        <w:spacing w:lineRule="auto" w:line="240" w:before="57" w:after="57"/>
        <w:jc w:val="both"/>
        <w:rPr>
          <w:rFonts w:ascii="Verdana" w:hAnsi="Verdana"/>
          <w:sz w:val="20"/>
          <w:szCs w:val="20"/>
        </w:rPr>
      </w:pPr>
      <w:r>
        <w:rPr>
          <w:rFonts w:cs="Arial" w:ascii="Verdana" w:hAnsi="Verdana"/>
          <w:sz w:val="20"/>
          <w:szCs w:val="20"/>
        </w:rPr>
        <w:t>9.25. A amostra apresentada, não será em hipótese alguma, considerada como início de entrega dos gêneros alimentícios.</w:t>
      </w:r>
    </w:p>
    <w:p>
      <w:pPr>
        <w:pStyle w:val="Normal"/>
        <w:spacing w:lineRule="auto" w:line="240" w:before="57" w:after="57"/>
        <w:jc w:val="both"/>
        <w:rPr>
          <w:rFonts w:ascii="Verdana" w:hAnsi="Verdana"/>
          <w:sz w:val="20"/>
          <w:szCs w:val="20"/>
        </w:rPr>
      </w:pPr>
      <w:r>
        <w:rPr>
          <w:rFonts w:cs="Arial" w:ascii="Verdana" w:hAnsi="Verdana"/>
          <w:color w:val="000000"/>
          <w:sz w:val="20"/>
          <w:szCs w:val="20"/>
        </w:rPr>
        <w:t>9.26 As amostras serão avaliadas pela Comissão do Núcleo de Promoção da Qualidade da Alimentação Escolar, apresentado o resultado em laudo escrito.</w:t>
      </w:r>
    </w:p>
    <w:p>
      <w:pPr>
        <w:pStyle w:val="Normal"/>
        <w:spacing w:lineRule="auto" w:line="240" w:before="57" w:after="57"/>
        <w:jc w:val="both"/>
        <w:rPr>
          <w:rFonts w:ascii="Verdana" w:hAnsi="Verdana"/>
          <w:sz w:val="20"/>
          <w:szCs w:val="20"/>
        </w:rPr>
      </w:pPr>
      <w:r>
        <w:rPr>
          <w:rFonts w:cs="Arial" w:ascii="Verdana" w:hAnsi="Verdana"/>
          <w:b/>
          <w:bCs/>
          <w:sz w:val="20"/>
          <w:szCs w:val="20"/>
        </w:rPr>
        <w:t xml:space="preserve">9.27 LOCAL DE ENTREGA </w:t>
      </w:r>
    </w:p>
    <w:p>
      <w:pPr>
        <w:pStyle w:val="Normal"/>
        <w:spacing w:lineRule="auto" w:line="240"/>
        <w:ind w:left="110"/>
        <w:jc w:val="both"/>
        <w:rPr>
          <w:rFonts w:ascii="Verdana" w:hAnsi="Verdana"/>
          <w:sz w:val="20"/>
          <w:szCs w:val="20"/>
        </w:rPr>
      </w:pPr>
      <w:r>
        <w:rPr>
          <w:rFonts w:ascii="Verdana" w:hAnsi="Verdana"/>
          <w:sz w:val="20"/>
          <w:szCs w:val="20"/>
        </w:rPr>
        <w:t>a)Os gêneros perecíveis deverão ser apresentados no depósito do SEMAE, localizado na Rua Eli Cardoso, s/nº, Bairro Santa Cecília (Escola Irmã Adelaide Bertocchi - Polivalente), nesta cidade, acompanhado de a Nota Fiscal para avaliação da qualidade e conferência do item com a descrição solicitada no Edital de Licitação; após, serão liberados para serem entregues diretamente nas escolas conforme cronogramas de entrega;</w:t>
      </w:r>
    </w:p>
    <w:p>
      <w:pPr>
        <w:pStyle w:val="Normal"/>
        <w:spacing w:lineRule="auto" w:line="240"/>
        <w:ind w:left="110"/>
        <w:jc w:val="both"/>
        <w:rPr>
          <w:rFonts w:ascii="Verdana" w:hAnsi="Verdana"/>
          <w:sz w:val="20"/>
          <w:szCs w:val="20"/>
        </w:rPr>
      </w:pPr>
      <w:r>
        <w:rPr>
          <w:rFonts w:ascii="Verdana" w:hAnsi="Verdana"/>
          <w:sz w:val="20"/>
          <w:szCs w:val="20"/>
        </w:rPr>
        <w:t>b) Os gêneros não perecíveis deverão ser entregues diretamente no depósito do SEMAE, localizado na Rua Eli Cardoso, s/nº, Bairro Santa Cecília - (Escola Irmã Adelaide Bertocchi - Polivalente), nesta cidade, acompanhado de a Nota Fiscal conforme cronograma de entrega.</w:t>
      </w:r>
    </w:p>
    <w:p>
      <w:pPr>
        <w:pStyle w:val="Normal"/>
        <w:spacing w:lineRule="auto" w:line="240"/>
        <w:ind w:left="110"/>
        <w:jc w:val="both"/>
        <w:rPr>
          <w:rFonts w:ascii="Verdana" w:hAnsi="Verdana"/>
          <w:sz w:val="20"/>
          <w:szCs w:val="20"/>
        </w:rPr>
      </w:pPr>
      <w:r>
        <w:rPr>
          <w:rFonts w:ascii="Verdana" w:hAnsi="Verdana"/>
          <w:sz w:val="20"/>
          <w:szCs w:val="20"/>
        </w:rPr>
        <w:t>c)A entrega deverá ocorrer sem qualquer ônus adicional, bem como a descarga e todas as demais despesas provenientes da mesma.</w:t>
      </w:r>
    </w:p>
    <w:p>
      <w:pPr>
        <w:pStyle w:val="Normal"/>
        <w:spacing w:lineRule="auto" w:line="240"/>
        <w:ind w:left="110"/>
        <w:jc w:val="both"/>
        <w:rPr>
          <w:rFonts w:ascii="Verdana" w:hAnsi="Verdana"/>
          <w:sz w:val="20"/>
          <w:szCs w:val="20"/>
        </w:rPr>
      </w:pPr>
      <w:r>
        <w:rPr>
          <w:rFonts w:ascii="Verdana" w:hAnsi="Verdana"/>
          <w:sz w:val="20"/>
          <w:szCs w:val="20"/>
        </w:rPr>
        <w:t>d)A Empresa vencedora garantirá a qualidade dos materiais obrigando-se a repor aquele que apresentar defeito ou for entregue em desacordo com o apresentado na proposta.</w:t>
      </w:r>
    </w:p>
    <w:p>
      <w:pPr>
        <w:pStyle w:val="Normal"/>
        <w:spacing w:lineRule="auto" w:line="240"/>
        <w:ind w:left="110"/>
        <w:jc w:val="both"/>
        <w:rPr>
          <w:rFonts w:ascii="Verdana" w:hAnsi="Verdana"/>
          <w:sz w:val="20"/>
          <w:szCs w:val="20"/>
        </w:rPr>
      </w:pPr>
      <w:r>
        <w:rPr>
          <w:rFonts w:ascii="Verdana" w:hAnsi="Verdana"/>
          <w:sz w:val="20"/>
          <w:szCs w:val="20"/>
        </w:rPr>
        <w:t>e)Os itens deverão ser entregues dentro do horário de expediente do setor de alimentação escolar e das escolas sendo de 7h às 17h, observando feriados e pontos facultativos.</w:t>
      </w:r>
    </w:p>
    <w:p>
      <w:pPr>
        <w:pStyle w:val="Normal"/>
        <w:spacing w:lineRule="auto" w:line="240"/>
        <w:ind w:left="110"/>
        <w:jc w:val="both"/>
        <w:rPr>
          <w:rFonts w:ascii="Verdana" w:hAnsi="Verdana"/>
          <w:sz w:val="20"/>
          <w:szCs w:val="20"/>
        </w:rPr>
      </w:pPr>
      <w:r>
        <w:rPr>
          <w:rFonts w:ascii="Verdana" w:hAnsi="Verdana"/>
          <w:sz w:val="20"/>
          <w:szCs w:val="20"/>
        </w:rPr>
        <w:t xml:space="preserve">f)A Empresa vencedora garantirá a qualidade dos itens obrigando-se a repor aquele que apresentar defeito ou for entregue em desacordo com o apresentado na proposta; </w:t>
      </w:r>
    </w:p>
    <w:p>
      <w:pPr>
        <w:pStyle w:val="Normal"/>
        <w:spacing w:lineRule="auto" w:line="240"/>
        <w:ind w:left="110"/>
        <w:jc w:val="both"/>
        <w:rPr>
          <w:rFonts w:ascii="Verdana" w:hAnsi="Verdana"/>
          <w:sz w:val="20"/>
          <w:szCs w:val="20"/>
        </w:rPr>
      </w:pPr>
      <w:r>
        <w:rPr>
          <w:rFonts w:ascii="Verdana" w:hAnsi="Verdana"/>
          <w:sz w:val="20"/>
          <w:szCs w:val="20"/>
        </w:rPr>
        <w:t>g)O material deverá ser entregue nas mesmas marcas indicadas nas propostas de preços vencedoras do certame e especificações constantes nas solicitações de compras.</w:t>
      </w:r>
    </w:p>
    <w:p>
      <w:pPr>
        <w:pStyle w:val="Normal"/>
        <w:spacing w:lineRule="auto" w:line="240"/>
        <w:ind w:left="110"/>
        <w:jc w:val="both"/>
        <w:rPr>
          <w:rFonts w:ascii="Verdana" w:hAnsi="Verdana"/>
          <w:sz w:val="20"/>
          <w:szCs w:val="20"/>
        </w:rPr>
      </w:pPr>
      <w:r>
        <w:rPr>
          <w:rFonts w:ascii="Verdana" w:hAnsi="Verdana"/>
          <w:sz w:val="20"/>
          <w:szCs w:val="20"/>
        </w:rPr>
        <w:t>h)O recebimento provisório do material entregue dar-se-á pela conferência com a descrição constante da ordem de fornecimento ou serviço;</w:t>
      </w:r>
    </w:p>
    <w:p>
      <w:pPr>
        <w:pStyle w:val="Normal"/>
        <w:spacing w:lineRule="auto" w:line="240"/>
        <w:ind w:left="110"/>
        <w:jc w:val="both"/>
        <w:rPr>
          <w:rFonts w:ascii="Verdana" w:hAnsi="Verdana"/>
          <w:sz w:val="20"/>
          <w:szCs w:val="20"/>
        </w:rPr>
      </w:pPr>
      <w:r>
        <w:rPr>
          <w:rFonts w:ascii="Verdana" w:hAnsi="Verdana"/>
          <w:sz w:val="20"/>
          <w:szCs w:val="20"/>
        </w:rPr>
        <w:t>i) O recebimento definitivo ocorrerá com a verificação integral de todos os itens e características do produto fornecido pela CONTRATADA;</w:t>
      </w:r>
    </w:p>
    <w:p>
      <w:pPr>
        <w:pStyle w:val="Normal"/>
        <w:spacing w:lineRule="auto" w:line="240"/>
        <w:ind w:left="110"/>
        <w:jc w:val="both"/>
        <w:rPr>
          <w:rFonts w:ascii="Verdana" w:hAnsi="Verdana"/>
          <w:sz w:val="20"/>
          <w:szCs w:val="20"/>
        </w:rPr>
      </w:pPr>
      <w:r>
        <w:rPr>
          <w:rFonts w:ascii="Verdana" w:hAnsi="Verdana"/>
          <w:sz w:val="20"/>
          <w:szCs w:val="20"/>
        </w:rPr>
        <w:t>j) O recebimento definitivo não isenta a CONTRATADA de responsabilidades futuras quanto à qualidade dos fornecimentos e serviços prestados.</w:t>
      </w:r>
    </w:p>
    <w:p>
      <w:pPr>
        <w:pStyle w:val="Normal"/>
        <w:spacing w:lineRule="auto" w:line="240"/>
        <w:ind w:left="110"/>
        <w:jc w:val="both"/>
        <w:rPr>
          <w:rFonts w:ascii="Verdana" w:hAnsi="Verdana"/>
          <w:sz w:val="20"/>
          <w:szCs w:val="20"/>
        </w:rPr>
      </w:pPr>
      <w:r>
        <w:rPr>
          <w:rFonts w:cs="Arial" w:ascii="Verdana" w:hAnsi="Verdana"/>
          <w:sz w:val="20"/>
          <w:szCs w:val="20"/>
        </w:rPr>
        <w:t>k) O recebimento provisório dos produtos não implica aceitação dos mesmos;</w:t>
      </w:r>
    </w:p>
    <w:p>
      <w:pPr>
        <w:pStyle w:val="Normal"/>
        <w:spacing w:lineRule="auto" w:line="240"/>
        <w:ind w:left="110"/>
        <w:jc w:val="both"/>
        <w:rPr>
          <w:rFonts w:ascii="Verdana" w:hAnsi="Verdana"/>
          <w:sz w:val="20"/>
          <w:szCs w:val="20"/>
        </w:rPr>
      </w:pPr>
      <w:r>
        <w:rPr>
          <w:rFonts w:ascii="Verdana" w:hAnsi="Verdana"/>
          <w:sz w:val="20"/>
          <w:szCs w:val="20"/>
        </w:rPr>
        <w:t>l) Os produtos que não estiverem de acordo com as especificações exigidas, apresentem vício de qualidade ou impropriedade para o uso, serão recusadas e devolvidas parcial ou totalmente, conforme caso, ficando a CONTRATADA, obrigada a substituí-los no prazo de 5 (cinco) dias úteis, contadas do recebimento da notificação escrita, sob pena de incorrer em atraso quanto ao prazo de execução;</w:t>
      </w:r>
    </w:p>
    <w:p>
      <w:pPr>
        <w:pStyle w:val="Normal"/>
        <w:spacing w:lineRule="auto" w:line="240"/>
        <w:ind w:left="110"/>
        <w:jc w:val="both"/>
        <w:rPr>
          <w:rFonts w:ascii="Verdana" w:hAnsi="Verdana"/>
          <w:sz w:val="20"/>
          <w:szCs w:val="20"/>
        </w:rPr>
      </w:pPr>
      <w:r>
        <w:rPr>
          <w:rFonts w:ascii="Verdana" w:hAnsi="Verdana"/>
          <w:sz w:val="20"/>
          <w:szCs w:val="20"/>
        </w:rPr>
        <w:t>m) Havendo erro na Nota Fiscal ou outra circunstância impeditiva, o recebimento definitivo será suspenso, até que a empresa tome as medidas saneadoras necessárias</w:t>
      </w:r>
    </w:p>
    <w:p>
      <w:pPr>
        <w:pStyle w:val="Normal"/>
        <w:spacing w:lineRule="auto" w:line="240" w:before="57" w:after="57"/>
        <w:jc w:val="both"/>
        <w:rPr>
          <w:rFonts w:ascii="Verdana" w:hAnsi="Verdana"/>
          <w:sz w:val="20"/>
          <w:szCs w:val="20"/>
        </w:rPr>
      </w:pPr>
      <w:r>
        <w:rPr>
          <w:rFonts w:cs="Arial" w:ascii="Verdana" w:hAnsi="Verdana"/>
          <w:b/>
          <w:sz w:val="20"/>
          <w:szCs w:val="20"/>
        </w:rPr>
        <w:t>9.28 CONTATO</w:t>
      </w:r>
    </w:p>
    <w:p>
      <w:pPr>
        <w:pStyle w:val="Normal"/>
        <w:spacing w:lineRule="auto" w:line="240" w:before="57" w:after="57"/>
        <w:jc w:val="both"/>
        <w:rPr>
          <w:rFonts w:ascii="Verdana" w:hAnsi="Verdana"/>
          <w:sz w:val="20"/>
          <w:szCs w:val="20"/>
        </w:rPr>
      </w:pPr>
      <w:r>
        <w:rPr>
          <w:rFonts w:cs="Arial" w:ascii="Verdana" w:hAnsi="Verdana"/>
          <w:b/>
          <w:sz w:val="20"/>
          <w:szCs w:val="20"/>
        </w:rPr>
        <w:t xml:space="preserve">Tel: </w:t>
      </w:r>
      <w:r>
        <w:rPr>
          <w:rFonts w:cs="Arial" w:ascii="Verdana" w:hAnsi="Verdana"/>
          <w:sz w:val="20"/>
          <w:szCs w:val="20"/>
        </w:rPr>
        <w:t>27 3727-3993</w:t>
      </w:r>
    </w:p>
    <w:p>
      <w:pPr>
        <w:pStyle w:val="Normal"/>
        <w:spacing w:lineRule="auto" w:line="240" w:before="57" w:after="57"/>
        <w:jc w:val="both"/>
        <w:rPr>
          <w:rFonts w:ascii="Verdana" w:hAnsi="Verdana"/>
          <w:sz w:val="20"/>
          <w:szCs w:val="20"/>
        </w:rPr>
      </w:pPr>
      <w:r>
        <w:rPr>
          <w:rFonts w:cs="Arial" w:ascii="Verdana" w:hAnsi="Verdana"/>
          <w:b/>
          <w:sz w:val="20"/>
          <w:szCs w:val="20"/>
        </w:rPr>
        <w:t xml:space="preserve">Email: </w:t>
      </w:r>
      <w:r>
        <w:rPr>
          <w:rFonts w:cs="Arial" w:ascii="Verdana" w:hAnsi="Verdana"/>
          <w:sz w:val="20"/>
          <w:szCs w:val="20"/>
        </w:rPr>
        <w:t>financeirosemecsgp@gmail.com</w:t>
      </w:r>
    </w:p>
    <w:p>
      <w:pPr>
        <w:pStyle w:val="Normal"/>
        <w:spacing w:lineRule="auto" w:line="240" w:before="57" w:after="57"/>
        <w:jc w:val="both"/>
        <w:rPr>
          <w:rFonts w:ascii="Verdana" w:hAnsi="Verdana"/>
          <w:sz w:val="20"/>
          <w:szCs w:val="20"/>
        </w:rPr>
      </w:pPr>
      <w:r>
        <w:rPr>
          <w:rFonts w:cs="Arial" w:ascii="Verdana" w:hAnsi="Verdana"/>
          <w:b/>
          <w:color w:val="000000"/>
          <w:sz w:val="20"/>
          <w:szCs w:val="20"/>
        </w:rPr>
        <w:t xml:space="preserve">Responsável: </w:t>
      </w:r>
      <w:r>
        <w:rPr>
          <w:rFonts w:cs="Arial" w:ascii="Verdana" w:hAnsi="Verdana"/>
          <w:color w:val="000000"/>
          <w:sz w:val="20"/>
          <w:szCs w:val="20"/>
        </w:rPr>
        <w:t>Secretaria Municipal de Educação e SEMAE – Setor de Alimentação Escolar.</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tabs>
          <w:tab w:val="clear" w:pos="720"/>
          <w:tab w:val="left" w:pos="617" w:leader="none"/>
        </w:tabs>
        <w:spacing w:lineRule="auto" w:line="240" w:before="57" w:after="57"/>
        <w:ind w:hanging="0" w:left="0"/>
        <w:contextualSpacing w:val="false"/>
        <w:jc w:val="both"/>
        <w:rPr>
          <w:rFonts w:ascii="Verdana" w:hAnsi="Verdana"/>
          <w:sz w:val="20"/>
          <w:szCs w:val="20"/>
        </w:rPr>
      </w:pPr>
      <w:r>
        <w:rPr>
          <w:rFonts w:cs="Arial" w:ascii="Verdana" w:hAnsi="Verdana"/>
          <w:iCs/>
          <w:sz w:val="20"/>
          <w:szCs w:val="20"/>
        </w:rPr>
        <w:t>A proposta final do licitante declarado vencedor deverá ser encaminhada no prazo de 02h00min (duas horas),</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20"/>
          <w:tab w:val="left" w:pos="617" w:leader="none"/>
          <w:tab w:val="left" w:pos="900" w:leader="none"/>
        </w:tabs>
        <w:spacing w:lineRule="auto" w:line="240"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20"/>
          <w:tab w:val="left" w:pos="617" w:leader="none"/>
          <w:tab w:val="left" w:pos="900" w:leader="none"/>
        </w:tabs>
        <w:spacing w:lineRule="auto" w:line="240"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20"/>
          <w:tab w:val="left" w:pos="617" w:leader="none"/>
          <w:tab w:val="left" w:pos="900" w:leader="none"/>
        </w:tabs>
        <w:spacing w:lineRule="auto" w:line="240"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20"/>
          <w:tab w:val="left" w:pos="850" w:leader="none"/>
        </w:tabs>
        <w:spacing w:lineRule="auto" w:line="240"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20"/>
          <w:tab w:val="left" w:pos="850" w:leader="none"/>
        </w:tabs>
        <w:spacing w:lineRule="auto" w:line="240"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lang w:eastAsia="en-US"/>
        </w:rPr>
        <w:t>DOS RECURSOS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240" w:before="57" w:after="57"/>
        <w:ind w:hanging="0" w:left="0"/>
        <w:rPr>
          <w:rFonts w:ascii="Verdana" w:hAnsi="Verdana"/>
          <w:sz w:val="20"/>
          <w:szCs w:val="20"/>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57" w:after="57"/>
        <w:ind w:hanging="0" w:left="0"/>
        <w:rPr>
          <w:rFonts w:ascii="Verdana" w:hAnsi="Verdana"/>
          <w:sz w:val="20"/>
          <w:szCs w:val="20"/>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rPr>
        <w:t xml:space="preserve">DA ADJUDICAÇÃO E HOMOLOGAÇÃO </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Normal"/>
        <w:spacing w:lineRule="auto" w:line="240" w:before="57" w:after="57"/>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cs="Arial" w:ascii="Verdana" w:hAnsi="Verdana"/>
          <w:b/>
          <w:bCs/>
          <w:sz w:val="20"/>
          <w:szCs w:val="20"/>
        </w:rPr>
        <w:t>14 DO TERMO DE CONTRATO</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cs="Arial" w:ascii="Verdana" w:hAnsi="Verdana"/>
          <w:sz w:val="20"/>
          <w:szCs w:val="20"/>
        </w:rPr>
        <w:t>14.1</w:t>
      </w:r>
      <w:r>
        <w:rPr>
          <w:rFonts w:cs="Arial" w:ascii="Verdana" w:hAnsi="Verdana"/>
          <w:b/>
          <w:bCs/>
          <w:sz w:val="20"/>
          <w:szCs w:val="20"/>
        </w:rPr>
        <w:t xml:space="preserve"> </w:t>
      </w:r>
      <w:r>
        <w:rPr>
          <w:rFonts w:cs="Arial" w:ascii="Verdana" w:hAnsi="Verdana"/>
          <w:bCs/>
          <w:sz w:val="20"/>
          <w:szCs w:val="20"/>
        </w:rPr>
        <w:t>Após a homologação da licitação, em sendo realizada a contratação, será firmado Termo de Contrato ou emitido instrumento equivalente.</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cs="Arial" w:ascii="Verdana" w:hAnsi="Verdana"/>
          <w:sz w:val="20"/>
          <w:szCs w:val="20"/>
        </w:rPr>
        <w:t>14.2</w:t>
      </w:r>
      <w:r>
        <w:rPr>
          <w:rFonts w:cs="Arial" w:ascii="Verdana" w:hAnsi="Verdana"/>
          <w:b/>
          <w:bCs/>
          <w:sz w:val="20"/>
          <w:szCs w:val="20"/>
        </w:rPr>
        <w:t xml:space="preserve"> </w:t>
      </w:r>
      <w:r>
        <w:rPr>
          <w:rFonts w:cs="Arial" w:ascii="Verdana" w:hAnsi="Verdana"/>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cs="Arial" w:ascii="Verdana" w:hAnsi="Verdana"/>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cs="Arial" w:ascii="Verdana" w:hAnsi="Verdana"/>
          <w:iCs/>
          <w:sz w:val="20"/>
          <w:szCs w:val="20"/>
        </w:rPr>
        <w:t>14.2.2 O prazo previsto no subitem anterior poderá ser prorrogado, por igual período, por solicitação justificada do adjudicatário e aceita pela Administração.</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cs="Arial" w:ascii="Verdana" w:hAnsi="Verdana"/>
          <w:iCs/>
          <w:sz w:val="20"/>
          <w:szCs w:val="20"/>
        </w:rPr>
        <w:t>14.3</w:t>
      </w:r>
      <w:r>
        <w:rPr>
          <w:rFonts w:cs="Arial" w:ascii="Verdana" w:hAnsi="Verdana"/>
          <w:b/>
          <w:bCs/>
          <w:iCs/>
          <w:sz w:val="20"/>
          <w:szCs w:val="20"/>
        </w:rPr>
        <w:t xml:space="preserve"> </w:t>
      </w:r>
      <w:r>
        <w:rPr>
          <w:rFonts w:cs="Arial" w:ascii="Verdana" w:hAnsi="Verdana"/>
          <w:bCs/>
          <w:iCs/>
          <w:sz w:val="20"/>
          <w:szCs w:val="20"/>
        </w:rPr>
        <w:t>O Aceite da Nota de Empenho ou do instrumento equivalente, emitida à empresa adjudicada, implica no reconhecimento de que:</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cs="Arial" w:ascii="Verdana" w:hAnsi="Verdana"/>
          <w:bCs/>
          <w:iCs/>
          <w:sz w:val="20"/>
          <w:szCs w:val="20"/>
        </w:rPr>
        <w:t>14.3.1 Referida Nota está substituindo o contrato, aplicando-se à relação de negócios ali estabelecida as disposições da Lei nº 14.133, de 2021;</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cs="Arial" w:ascii="Verdana" w:hAnsi="Verdana"/>
          <w:bCs/>
          <w:iCs/>
          <w:sz w:val="20"/>
          <w:szCs w:val="20"/>
        </w:rPr>
        <w:t>14.3.2 A contratada se vincula à sua proposta e às previsões contidas no edital e seus anexos;</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cs="Arial" w:ascii="Verdana" w:hAnsi="Verdana"/>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cs="Arial" w:ascii="Verdana" w:hAnsi="Verdana"/>
          <w:sz w:val="20"/>
          <w:szCs w:val="20"/>
        </w:rPr>
        <w:t>14.4</w:t>
      </w:r>
      <w:r>
        <w:rPr>
          <w:rFonts w:cs="Arial" w:ascii="Verdana" w:hAnsi="Verdana"/>
          <w:b/>
          <w:bCs/>
          <w:sz w:val="20"/>
          <w:szCs w:val="20"/>
        </w:rPr>
        <w:t xml:space="preserve"> </w:t>
      </w:r>
      <w:r>
        <w:rPr>
          <w:rFonts w:cs="Arial" w:ascii="Verdana" w:hAnsi="Verdana"/>
          <w:bCs/>
          <w:sz w:val="20"/>
          <w:szCs w:val="20"/>
        </w:rPr>
        <w:t>O prazo de vigência da contratação é de 12 (doze) meses, prorrogável conforme previsão no instrumento contratual.</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cs="Arial" w:ascii="Verdana" w:hAnsi="Verdana"/>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cs="Arial" w:ascii="Verdana" w:hAnsi="Verdana"/>
          <w:sz w:val="20"/>
          <w:szCs w:val="20"/>
        </w:rPr>
        <w:t>14.5.1 Nos casos em que houver necessidade de assinatura do instrumento de contrato, e o fornecedor não estiver inscrito no SICAF, este deverá proceder ao seu cadastramento, sem ônus, antes da contratação.</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cs="Arial" w:ascii="Verdana" w:hAnsi="Verdana"/>
          <w:sz w:val="20"/>
          <w:szCs w:val="20"/>
        </w:rPr>
        <w:t>14.5.2 Na hipótese de irregularidade do registro no SICAF, o contratado deverá regularizar a sua situação perante o cadastro no prazo de até 05 (cinco) dias úteis, sob pena de aplicação das penalidades previstas no edital e anexos.</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cs="Arial" w:ascii="Verdana" w:hAnsi="Verdana"/>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cs="Arial" w:ascii="Verdana" w:hAnsi="Verdana"/>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rPr>
        <w:t>15. DO REAJUSTAMENTO EM SENTIDO GERAL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rPr>
        <w:t>16. DA ACEITAÇÃO DO OBJETO E DA FISCALIZAÇÃO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16.1 Os critérios de recebimento e aceitação do objeto e de fiscalização estão previstos no Termo de Referência e Minuta de Contrato anexo a este edital.</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lang w:eastAsia="en-US"/>
        </w:rPr>
        <w:t>17. DAS OBRIGAÇÕES DA CONTRATANTE E DA CONTRATADA</w:t>
      </w:r>
    </w:p>
    <w:p>
      <w:pPr>
        <w:pStyle w:val="ListParagraph"/>
        <w:spacing w:lineRule="auto" w:line="240" w:before="57" w:after="57"/>
        <w:ind w:left="0"/>
        <w:contextualSpacing w:val="false"/>
        <w:jc w:val="both"/>
        <w:rPr>
          <w:rFonts w:ascii="Verdana" w:hAnsi="Verdana"/>
          <w:sz w:val="20"/>
          <w:szCs w:val="20"/>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e Minuta de Contrato anexo a este edital.</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Tahoma" w:ascii="Verdana" w:hAnsi="Verdana"/>
          <w:color w:val="auto"/>
          <w:sz w:val="20"/>
          <w:szCs w:val="20"/>
        </w:rPr>
        <w:t>18</w:t>
      </w:r>
      <w:r>
        <w:rPr>
          <w:rFonts w:cs="Arial" w:ascii="Verdana" w:hAnsi="Verdana"/>
          <w:sz w:val="20"/>
          <w:szCs w:val="20"/>
        </w:rPr>
        <w:t>. DO PAGAMENTO</w:t>
      </w:r>
    </w:p>
    <w:p>
      <w:pPr>
        <w:pStyle w:val="ListParagraph"/>
        <w:spacing w:lineRule="auto" w:line="240" w:before="57" w:after="57"/>
        <w:ind w:lef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regras acerca do pagamento são as estabelecidas no Termo de Referência e Minuta de Contrato anexo a este edital.</w:t>
      </w:r>
    </w:p>
    <w:p>
      <w:pPr>
        <w:pStyle w:val="Normal"/>
        <w:spacing w:lineRule="auto" w:line="240" w:before="57" w:after="57"/>
        <w:rPr>
          <w:rFonts w:ascii="Verdana" w:hAnsi="Verdana"/>
          <w:sz w:val="20"/>
          <w:szCs w:val="20"/>
        </w:rPr>
      </w:pPr>
      <w:r>
        <w:rPr>
          <w:rFonts w:ascii="Verdana" w:hAnsi="Verdana"/>
          <w:sz w:val="20"/>
          <w:szCs w:val="20"/>
        </w:rPr>
      </w:r>
    </w:p>
    <w:p>
      <w:pPr>
        <w:pStyle w:val="ListParagraph"/>
        <w:spacing w:lineRule="auto" w:line="240" w:before="57" w:after="57"/>
        <w:ind w:left="0"/>
        <w:contextualSpacing w:val="false"/>
        <w:jc w:val="both"/>
        <w:rPr>
          <w:rFonts w:ascii="Verdana" w:hAnsi="Verdana"/>
          <w:sz w:val="20"/>
          <w:szCs w:val="20"/>
        </w:rPr>
      </w:pPr>
      <w:r>
        <w:rPr>
          <w:rFonts w:cs="Arial" w:ascii="Verdana" w:hAnsi="Verdana"/>
          <w:b/>
          <w:bCs/>
          <w:color w:val="000000"/>
          <w:sz w:val="20"/>
          <w:szCs w:val="20"/>
          <w:lang w:eastAsia="en-US"/>
        </w:rPr>
        <w:t>19. DA CONTA DEPÓSITO VINCULADA ― BLOQUEADA PARA MOVIMENTAÇÃO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rPr>
        <w:t>20. DAS SANÇÕES ADMINISTRATIVAS.</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20.1.1 D</w:t>
      </w:r>
      <w:bookmarkStart w:id="11"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1"/>
    </w:p>
    <w:p>
      <w:pPr>
        <w:pStyle w:val="Normal"/>
        <w:tabs>
          <w:tab w:val="clear" w:pos="720"/>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 xml:space="preserve">20.1.2 </w:t>
      </w:r>
      <w:bookmarkStart w:id="12" w:name="_Ref114668108"/>
      <w:r>
        <w:rPr>
          <w:rFonts w:cs="Arial" w:ascii="Verdana" w:hAnsi="Verdana"/>
          <w:sz w:val="20"/>
          <w:szCs w:val="20"/>
          <w:shd w:fill="FFFFFF" w:val="clear"/>
        </w:rPr>
        <w:t>Salvo em decorrência de fato superveniente devidamente justificado, não mantiver a proposta em especial quando:</w:t>
      </w:r>
      <w:bookmarkEnd w:id="12"/>
    </w:p>
    <w:p>
      <w:pPr>
        <w:pStyle w:val="Normal"/>
        <w:tabs>
          <w:tab w:val="clear" w:pos="720"/>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20"/>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20"/>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20"/>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20"/>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20"/>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40"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40" w:before="57" w:after="57"/>
        <w:jc w:val="both"/>
        <w:rPr>
          <w:rFonts w:ascii="Verdana" w:hAnsi="Verdana"/>
          <w:sz w:val="20"/>
          <w:szCs w:val="20"/>
        </w:rPr>
      </w:pPr>
      <w:r>
        <w:rPr>
          <w:rFonts w:ascii="Verdana" w:hAnsi="Verdana"/>
          <w:sz w:val="20"/>
          <w:szCs w:val="20"/>
        </w:rPr>
        <w:t>20.1.4 A</w:t>
      </w:r>
      <w:bookmarkStart w:id="13" w:name="_Ref114668249"/>
      <w:r>
        <w:rPr>
          <w:rFonts w:ascii="Verdana" w:hAnsi="Verdana"/>
          <w:sz w:val="20"/>
          <w:szCs w:val="20"/>
        </w:rPr>
        <w:t>presentar declaração ou documentação falsa exigida para o certame ou prestar declaração falsa durante a licitação</w:t>
      </w:r>
      <w:bookmarkEnd w:id="13"/>
    </w:p>
    <w:p>
      <w:pPr>
        <w:pStyle w:val="Normal"/>
        <w:spacing w:lineRule="auto" w:line="240" w:before="57" w:after="57"/>
        <w:jc w:val="both"/>
        <w:rPr>
          <w:rFonts w:ascii="Verdana" w:hAnsi="Verdana"/>
          <w:sz w:val="20"/>
          <w:szCs w:val="20"/>
        </w:rPr>
      </w:pPr>
      <w:r>
        <w:rPr>
          <w:rFonts w:ascii="Verdana" w:hAnsi="Verdana"/>
          <w:sz w:val="20"/>
          <w:szCs w:val="20"/>
        </w:rPr>
        <w:t>20.1.5 F</w:t>
      </w:r>
      <w:bookmarkStart w:id="14" w:name="_Ref114668245"/>
      <w:r>
        <w:rPr>
          <w:rFonts w:ascii="Verdana" w:hAnsi="Verdana"/>
          <w:sz w:val="20"/>
          <w:szCs w:val="20"/>
        </w:rPr>
        <w:t>raudar a licitação</w:t>
      </w:r>
      <w:bookmarkEnd w:id="14"/>
    </w:p>
    <w:p>
      <w:pPr>
        <w:pStyle w:val="Normal"/>
        <w:spacing w:lineRule="auto" w:line="240" w:before="57" w:after="57"/>
        <w:jc w:val="both"/>
        <w:rPr>
          <w:rFonts w:ascii="Verdana" w:hAnsi="Verdana"/>
          <w:sz w:val="20"/>
          <w:szCs w:val="20"/>
        </w:rPr>
      </w:pPr>
      <w:r>
        <w:rPr>
          <w:rFonts w:ascii="Verdana" w:hAnsi="Verdana"/>
          <w:sz w:val="20"/>
          <w:szCs w:val="20"/>
        </w:rPr>
        <w:t>20.1.6 C</w:t>
      </w:r>
      <w:bookmarkStart w:id="15" w:name="_Ref114668247"/>
      <w:r>
        <w:rPr>
          <w:rFonts w:ascii="Verdana" w:hAnsi="Verdana"/>
          <w:sz w:val="20"/>
          <w:szCs w:val="20"/>
        </w:rPr>
        <w:t>omportar-se de modo inidôneo ou cometer fraude de qualquer natureza, em especial quando:</w:t>
      </w:r>
      <w:bookmarkEnd w:id="15"/>
    </w:p>
    <w:p>
      <w:pPr>
        <w:pStyle w:val="Normal"/>
        <w:spacing w:lineRule="auto" w:line="240"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40" w:before="57" w:after="57"/>
        <w:jc w:val="both"/>
        <w:rPr>
          <w:rFonts w:ascii="Verdana" w:hAnsi="Verdana"/>
          <w:sz w:val="20"/>
          <w:szCs w:val="20"/>
        </w:rPr>
      </w:pPr>
      <w:r>
        <w:rPr>
          <w:rFonts w:ascii="Verdana" w:hAnsi="Verdana"/>
          <w:sz w:val="20"/>
          <w:szCs w:val="20"/>
        </w:rPr>
        <w:t>20.1.6.2 Induzir deliberadamente a erro no julgamento;</w:t>
      </w:r>
    </w:p>
    <w:p>
      <w:pPr>
        <w:pStyle w:val="Normal"/>
        <w:spacing w:lineRule="auto" w:line="240" w:before="57" w:after="57"/>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40" w:before="57" w:after="57"/>
        <w:jc w:val="both"/>
        <w:rPr>
          <w:rFonts w:ascii="Verdana" w:hAnsi="Verdana"/>
          <w:sz w:val="20"/>
          <w:szCs w:val="20"/>
        </w:rPr>
      </w:pPr>
      <w:r>
        <w:rPr>
          <w:rFonts w:ascii="Verdana" w:hAnsi="Verdana"/>
          <w:sz w:val="20"/>
          <w:szCs w:val="20"/>
        </w:rPr>
        <w:t>20.1.7 P</w:t>
      </w:r>
      <w:bookmarkStart w:id="16" w:name="_Ref114668251"/>
      <w:r>
        <w:rPr>
          <w:rFonts w:ascii="Verdana" w:hAnsi="Verdana"/>
          <w:sz w:val="20"/>
          <w:szCs w:val="20"/>
        </w:rPr>
        <w:t>raticar atos ilícitos com vistas a frustrar os objetivos da licitação</w:t>
      </w:r>
      <w:bookmarkEnd w:id="16"/>
    </w:p>
    <w:p>
      <w:pPr>
        <w:pStyle w:val="Normal"/>
        <w:spacing w:lineRule="auto" w:line="240" w:before="57" w:after="57"/>
        <w:jc w:val="both"/>
        <w:rPr/>
      </w:pPr>
      <w:r>
        <w:rPr>
          <w:rFonts w:ascii="Verdana" w:hAnsi="Verdana"/>
          <w:sz w:val="20"/>
          <w:szCs w:val="20"/>
        </w:rPr>
        <w:t>20.1.8 P</w:t>
      </w:r>
      <w:bookmarkStart w:id="17" w:name="_Ref114668252"/>
      <w:r>
        <w:rPr>
          <w:rFonts w:ascii="Verdana" w:hAnsi="Verdana"/>
          <w:sz w:val="20"/>
          <w:szCs w:val="20"/>
        </w:rPr>
        <w:t xml:space="preserve">raticar ato lesivo previsto no </w:t>
      </w:r>
      <w:r>
        <w:fldChar w:fldCharType="begin"/>
      </w:r>
      <w:r>
        <w:rPr>
          <w:rStyle w:val="ListLabel195"/>
          <w:sz w:val="20"/>
          <w:szCs w:val="20"/>
          <w:rFonts w:ascii="Verdana" w:hAnsi="Verdana"/>
          <w:color w:val="000000"/>
        </w:rPr>
        <w:instrText xml:space="preserve"> HYPERLINK "https://www.planalto.gov.br/ccivil_03/_ato2011-2014/2013/lei/l12846.htm" \l "art5"</w:instrText>
      </w:r>
      <w:r>
        <w:rPr>
          <w:rStyle w:val="ListLabel195"/>
          <w:sz w:val="20"/>
          <w:szCs w:val="20"/>
          <w:rFonts w:ascii="Verdana" w:hAnsi="Verdana"/>
          <w:color w:val="000000"/>
        </w:rPr>
        <w:fldChar w:fldCharType="separate"/>
      </w:r>
      <w:r>
        <w:rPr>
          <w:rStyle w:val="ListLabel195"/>
          <w:rFonts w:ascii="Verdana" w:hAnsi="Verdana"/>
          <w:color w:val="000000"/>
          <w:sz w:val="20"/>
          <w:szCs w:val="20"/>
        </w:rPr>
        <w:t>art. 5º da Lei n.º 12.846, de 2013</w:t>
      </w:r>
      <w:r>
        <w:rPr>
          <w:rStyle w:val="ListLabel195"/>
          <w:sz w:val="20"/>
          <w:szCs w:val="20"/>
          <w:rFonts w:ascii="Verdana" w:hAnsi="Verdana"/>
          <w:color w:val="000000"/>
        </w:rPr>
        <w:fldChar w:fldCharType="end"/>
      </w:r>
      <w:r>
        <w:rPr>
          <w:rFonts w:ascii="Verdana" w:hAnsi="Verdana"/>
          <w:sz w:val="20"/>
          <w:szCs w:val="20"/>
        </w:rPr>
        <w:t>.</w:t>
      </w:r>
      <w:bookmarkEnd w:id="17"/>
    </w:p>
    <w:p>
      <w:pPr>
        <w:pStyle w:val="Nivel2"/>
        <w:numPr>
          <w:ilvl w:val="0"/>
          <w:numId w:val="0"/>
        </w:numPr>
        <w:spacing w:lineRule="auto" w:line="240" w:before="57" w:after="57"/>
        <w:ind w:hanging="0" w:left="0"/>
        <w:rPr/>
      </w:pPr>
      <w:r>
        <w:rPr>
          <w:rFonts w:ascii="Verdana" w:hAnsi="Verdana"/>
          <w:sz w:val="20"/>
          <w:szCs w:val="20"/>
        </w:rPr>
        <w:t xml:space="preserve">20.2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20.2.1 Advertência;</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20.2.2 Multa;</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20.2.3 Impedimento de licitar e contratar e</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20.3 Na aplicação das sanções serão considerados:</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20.3.1 A natureza e a gravidade da infração cometida.</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20.3.2 As peculiaridades do caso concreto</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20.3.3 As circunstâncias agravantes ou atenuantes</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20.3.4 Os danos que dela provierem para a Administração Pública</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20.3.5 A implantação ou o aperfeiçoamento de programa de integridade, conforme normas e orientações dos órgãos de controle.</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 xml:space="preserve">20.4 A multa será recolhida em percentual de 0,5% a 30% incidente sobre o valor do contrato licitado, recolhida no prazo máximo de </w:t>
      </w:r>
      <w:r>
        <w:rPr>
          <w:rFonts w:ascii="Verdana" w:hAnsi="Verdana"/>
          <w:b/>
          <w:bCs/>
          <w:color w:val="FF0000"/>
          <w:sz w:val="20"/>
          <w:szCs w:val="20"/>
        </w:rPr>
        <w:t>15 (quinze) dias</w:t>
      </w:r>
      <w:r>
        <w:rPr>
          <w:rFonts w:ascii="Verdana" w:hAnsi="Verdana"/>
          <w:color w:val="FF0000"/>
          <w:sz w:val="20"/>
          <w:szCs w:val="20"/>
        </w:rPr>
        <w:t xml:space="preserve"> </w:t>
      </w:r>
      <w:r>
        <w:rPr>
          <w:rFonts w:ascii="Verdana" w:hAnsi="Verdana"/>
          <w:sz w:val="20"/>
          <w:szCs w:val="20"/>
        </w:rPr>
        <w:t>úteis, a contar da comunicação oficial.</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 xml:space="preserve">20.4.1 </w:t>
      </w:r>
      <w:bookmarkStart w:id="18" w:name="_Hlk113876035"/>
      <w:r>
        <w:rPr>
          <w:rFonts w:ascii="Verdana" w:hAnsi="Verdana"/>
          <w:sz w:val="20"/>
          <w:szCs w:val="20"/>
        </w:rPr>
        <w:t xml:space="preserve">Para as infrações previstas nos itens 20.1.1, 20.1.2 e 20.1.3, a multa será de </w:t>
      </w:r>
      <w:r>
        <w:rPr>
          <w:rFonts w:ascii="Verdana" w:hAnsi="Verdana"/>
          <w:color w:val="FF0000"/>
          <w:sz w:val="20"/>
          <w:szCs w:val="20"/>
        </w:rPr>
        <w:t xml:space="preserve">0,5% </w:t>
      </w:r>
      <w:r>
        <w:rPr>
          <w:rFonts w:ascii="Verdana" w:hAnsi="Verdana"/>
          <w:sz w:val="20"/>
          <w:szCs w:val="20"/>
        </w:rPr>
        <w:t xml:space="preserve">a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do valor do contrato licitado.</w:t>
      </w:r>
      <w:bookmarkEnd w:id="18"/>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 xml:space="preserve">20.4.2 Para as infrações previstas nos itens 20.1.4, 20.1.5, 20.1.6, 20.1.7 e 20.1.8, a multa será de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 xml:space="preserve">a </w:t>
      </w:r>
      <w:r>
        <w:rPr>
          <w:rFonts w:ascii="Verdana" w:hAnsi="Verdana"/>
          <w:color w:val="FF0000"/>
          <w:sz w:val="20"/>
          <w:szCs w:val="20"/>
        </w:rPr>
        <w:t>30%</w:t>
      </w:r>
      <w:r>
        <w:rPr>
          <w:rFonts w:ascii="Verdana" w:hAnsi="Verdana"/>
          <w:color w:val="0000FF"/>
          <w:sz w:val="20"/>
          <w:szCs w:val="20"/>
        </w:rPr>
        <w:t xml:space="preserve"> </w:t>
      </w:r>
      <w:r>
        <w:rPr>
          <w:rFonts w:ascii="Verdana" w:hAnsi="Verdana"/>
          <w:sz w:val="20"/>
          <w:szCs w:val="20"/>
        </w:rPr>
        <w:t>do valor do contrato licitado.</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sz w:val="20"/>
          <w:szCs w:val="20"/>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95"/>
          <w:sz w:val="20"/>
          <w:szCs w:val="20"/>
          <w:rFonts w:ascii="Verdana" w:hAnsi="Verdana"/>
          <w:color w:val="000000"/>
        </w:rPr>
        <w:instrText xml:space="preserve"> HYPERLINK "http://www.planalto.gov.br/ccivil_03/_ato2019-2022/2021/lei/L14133.htm" \l "art156%C2%A75"</w:instrText>
      </w:r>
      <w:r>
        <w:rPr>
          <w:rStyle w:val="ListLabel195"/>
          <w:sz w:val="20"/>
          <w:szCs w:val="20"/>
          <w:rFonts w:ascii="Verdana" w:hAnsi="Verdana"/>
          <w:color w:val="000000"/>
        </w:rPr>
        <w:fldChar w:fldCharType="separate"/>
      </w:r>
      <w:r>
        <w:rPr>
          <w:rStyle w:val="ListLabel195"/>
          <w:rFonts w:ascii="Verdana" w:hAnsi="Verdana"/>
          <w:color w:val="000000"/>
          <w:sz w:val="20"/>
          <w:szCs w:val="20"/>
        </w:rPr>
        <w:t>art. 156, §5º, da Lei n.º 14.133/2021</w:t>
      </w:r>
      <w:r>
        <w:rPr>
          <w:rStyle w:val="ListLabel195"/>
          <w:sz w:val="20"/>
          <w:szCs w:val="20"/>
          <w:rFonts w:ascii="Verdana" w:hAnsi="Verdana"/>
          <w:color w:val="000000"/>
        </w:rPr>
        <w:fldChar w:fldCharType="end"/>
      </w:r>
      <w:r>
        <w:rPr>
          <w:rFonts w:ascii="Verdana" w:hAnsi="Verdana"/>
          <w:sz w:val="20"/>
          <w:szCs w:val="20"/>
        </w:rPr>
        <w:t>.</w:t>
      </w:r>
    </w:p>
    <w:p>
      <w:pPr>
        <w:pStyle w:val="Nivel2"/>
        <w:numPr>
          <w:ilvl w:val="0"/>
          <w:numId w:val="0"/>
        </w:numPr>
        <w:spacing w:lineRule="auto" w:line="240" w:before="57" w:after="57"/>
        <w:ind w:hanging="0" w:left="0"/>
        <w:rPr/>
      </w:pPr>
      <w:r>
        <w:rPr>
          <w:rFonts w:ascii="Verdana" w:hAnsi="Verdana"/>
          <w:sz w:val="20"/>
          <w:szCs w:val="20"/>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195"/>
            <w:rFonts w:ascii="Verdana" w:hAnsi="Verdana"/>
            <w:color w:val="000000"/>
            <w:sz w:val="20"/>
            <w:szCs w:val="20"/>
          </w:rPr>
          <w:t>art. 45, §4º da IN SEGES/ME n.º 73, de 2022</w:t>
        </w:r>
      </w:hyperlink>
      <w:r>
        <w:rPr>
          <w:rFonts w:ascii="Verdana" w:hAnsi="Verdana"/>
          <w:sz w:val="20"/>
          <w:szCs w:val="20"/>
        </w:rPr>
        <w:t xml:space="preserve">. </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57" w:after="57"/>
        <w:ind w:hanging="0" w:left="0"/>
        <w:rPr>
          <w:rFonts w:ascii="Verdana" w:hAnsi="Verdana"/>
          <w:sz w:val="20"/>
          <w:szCs w:val="20"/>
        </w:rPr>
      </w:pPr>
      <w:r>
        <w:rPr>
          <w:rFonts w:cs="Arial" w:ascii="Verdana" w:hAnsi="Verdana"/>
          <w:sz w:val="20"/>
          <w:szCs w:val="20"/>
          <w:shd w:fill="FFFFFF" w:val="clear"/>
        </w:rPr>
        <w:t>20.13 A aplicação das sanções previstas neste edital não exclui, em hipótese alguma, a obrigação de reparação integral dos danos causados.</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rPr>
        <w:t>21. DA IMPUGNAÇÃO AO EDITAL E DO PEDIDO DE ESCLARECIMENTO</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196"/>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Normal"/>
        <w:spacing w:lineRule="auto" w:line="240" w:before="0" w:after="0"/>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rPr>
        <w:t>22. DAS DISPOSIÇÕES GERAIS</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40"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40" w:before="0" w:after="0"/>
        <w:jc w:val="both"/>
        <w:rPr/>
      </w:pPr>
      <w:r>
        <w:rPr>
          <w:rFonts w:cs="Arial" w:ascii="Verdana" w:hAnsi="Verdana"/>
          <w:color w:val="000000"/>
          <w:sz w:val="20"/>
          <w:szCs w:val="20"/>
        </w:rPr>
        <w:t xml:space="preserve">22.11 O Edital está disponibilizado, na íntegra, no endereço eletrônico </w:t>
      </w:r>
      <w:r>
        <w:rPr>
          <w:rFonts w:cs="Arial" w:ascii="Verdana" w:hAnsi="Verdana"/>
          <w:color w:val="000000"/>
          <w:sz w:val="20"/>
          <w:szCs w:val="20"/>
          <w:u w:val="single"/>
        </w:rPr>
        <w:t xml:space="preserve">Portal de Compras Públicas – </w:t>
      </w:r>
      <w:hyperlink r:id="rId11">
        <w:bookmarkStart w:id="19" w:name="_Hlk123138684_Copia_1"/>
        <w:r>
          <w:rPr>
            <w:rStyle w:val="ListLabel190"/>
            <w:rFonts w:cs="Arial" w:ascii="Verdana" w:hAnsi="Verdana"/>
            <w:b/>
            <w:bCs/>
            <w:color w:val="0563C1"/>
            <w:sz w:val="20"/>
            <w:szCs w:val="20"/>
            <w:u w:val="single"/>
          </w:rPr>
          <w:t>www.portaldecompraspublicas.com.br</w:t>
        </w:r>
      </w:hyperlink>
      <w:bookmarkEnd w:id="19"/>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2">
        <w:r>
          <w:rPr>
            <w:rStyle w:val="ListLabel193"/>
            <w:rFonts w:ascii="Verdana" w:hAnsi="Verdana"/>
            <w:color w:val="000080"/>
            <w:sz w:val="20"/>
            <w:szCs w:val="20"/>
            <w:u w:val="single"/>
          </w:rPr>
          <w:t>licitacao@saogabriel.es.gov.br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22.12.1 ANEXO I – Termo de Referência;</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22.12.1.1 ANEXO I-1 – Estudo Técnico Preliminar;</w:t>
      </w:r>
    </w:p>
    <w:p>
      <w:pPr>
        <w:pStyle w:val="Normal"/>
        <w:tabs>
          <w:tab w:val="clear" w:pos="720"/>
          <w:tab w:val="left" w:pos="80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22.12.2 ANEXO II – Modelo Orientativo de Proposta;</w:t>
      </w:r>
    </w:p>
    <w:p>
      <w:pPr>
        <w:pStyle w:val="Normal"/>
        <w:tabs>
          <w:tab w:val="clear" w:pos="720"/>
          <w:tab w:val="left" w:pos="80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22.12.3 ANEXO III – Minuta de Contrato;</w:t>
      </w:r>
    </w:p>
    <w:p>
      <w:pPr>
        <w:pStyle w:val="Normal"/>
        <w:tabs>
          <w:tab w:val="clear" w:pos="720"/>
          <w:tab w:val="left" w:pos="80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22.12.4 ANEXO IV – Cronograma de Entrega.</w:t>
      </w:r>
    </w:p>
    <w:p>
      <w:pPr>
        <w:pStyle w:val="Normal"/>
        <w:tabs>
          <w:tab w:val="clear" w:pos="720"/>
          <w:tab w:val="left" w:pos="800" w:leader="none"/>
        </w:tabs>
        <w:snapToGrid w:val="false"/>
        <w:spacing w:lineRule="auto" w:line="240" w:before="57" w:after="57"/>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20"/>
          <w:tab w:val="left" w:pos="567" w:leader="none"/>
        </w:tabs>
        <w:spacing w:lineRule="auto" w:line="240" w:before="57" w:after="57"/>
        <w:ind w:hanging="0" w:left="0"/>
        <w:jc w:val="center"/>
        <w:outlineLvl w:val="0"/>
        <w:rPr>
          <w:rFonts w:ascii="Verdana" w:hAnsi="Verdana"/>
          <w:sz w:val="20"/>
          <w:szCs w:val="20"/>
        </w:rPr>
      </w:pPr>
      <w:r>
        <w:rPr>
          <w:rFonts w:cs="Arial" w:ascii="Verdana" w:hAnsi="Verdana"/>
          <w:color w:val="000000"/>
          <w:sz w:val="20"/>
          <w:szCs w:val="20"/>
        </w:rPr>
        <w:t>São Gabriel da Palha/ES, 16 de março de 2026.</w:t>
      </w:r>
    </w:p>
    <w:p>
      <w:pPr>
        <w:pStyle w:val="Normal"/>
        <w:tabs>
          <w:tab w:val="clear" w:pos="720"/>
          <w:tab w:val="left" w:pos="1440" w:leader="none"/>
        </w:tabs>
        <w:snapToGrid w:val="false"/>
        <w:spacing w:lineRule="auto" w:line="240" w:before="57" w:after="57"/>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40" w:before="57" w:after="57"/>
        <w:jc w:val="both"/>
        <w:rPr>
          <w:rFonts w:ascii="Verdana" w:hAnsi="Verdana" w:cs="Arial"/>
          <w:sz w:val="20"/>
          <w:szCs w:val="20"/>
        </w:rPr>
      </w:pPr>
      <w:r>
        <w:rPr>
          <w:rFonts w:cs="Arial" w:ascii="Verdana" w:hAnsi="Verdana"/>
          <w:sz w:val="20"/>
          <w:szCs w:val="20"/>
        </w:rPr>
      </w:r>
    </w:p>
    <w:p>
      <w:pPr>
        <w:pStyle w:val="Normal"/>
        <w:numPr>
          <w:ilvl w:val="0"/>
          <w:numId w:val="0"/>
        </w:numPr>
        <w:tabs>
          <w:tab w:val="clear" w:pos="720"/>
          <w:tab w:val="left" w:pos="567" w:leader="none"/>
        </w:tabs>
        <w:spacing w:lineRule="auto" w:line="240" w:before="57" w:after="57"/>
        <w:ind w:hanging="0" w:left="0"/>
        <w:jc w:val="center"/>
        <w:outlineLvl w:val="0"/>
        <w:rPr>
          <w:rFonts w:ascii="Verdana" w:hAnsi="Verdana"/>
          <w:sz w:val="20"/>
          <w:szCs w:val="20"/>
        </w:rPr>
      </w:pPr>
      <w:r>
        <w:rPr>
          <w:rFonts w:cs="Arial" w:ascii="Verdana" w:hAnsi="Verdana"/>
          <w:b/>
          <w:bCs/>
          <w:color w:val="000000"/>
          <w:sz w:val="20"/>
          <w:szCs w:val="20"/>
        </w:rPr>
        <w:t>JANE LISLIE MARTINELLI DOS SANTOS</w:t>
      </w:r>
    </w:p>
    <w:p>
      <w:pPr>
        <w:pStyle w:val="Normal"/>
        <w:keepNext w:val="true"/>
        <w:keepLines/>
        <w:numPr>
          <w:ilvl w:val="0"/>
          <w:numId w:val="0"/>
        </w:numPr>
        <w:tabs>
          <w:tab w:val="clear" w:pos="720"/>
          <w:tab w:val="left" w:pos="567" w:leader="none"/>
        </w:tabs>
        <w:spacing w:lineRule="auto" w:line="240" w:before="57" w:after="57"/>
        <w:ind w:hanging="0" w:left="0"/>
        <w:jc w:val="center"/>
        <w:outlineLvl w:val="0"/>
        <w:rPr>
          <w:rFonts w:ascii="Verdana" w:hAnsi="Verdana"/>
          <w:sz w:val="20"/>
          <w:szCs w:val="20"/>
        </w:rPr>
      </w:pPr>
      <w:r>
        <w:rPr>
          <w:rFonts w:cs="Arial" w:ascii="Verdana" w:hAnsi="Verdana"/>
          <w:b/>
          <w:bCs/>
          <w:color w:val="000000"/>
          <w:sz w:val="20"/>
          <w:szCs w:val="20"/>
        </w:rPr>
        <w:t>Secretária Municipal de Educação</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701" w:right="1134" w:gutter="0" w:header="517" w:top="1767" w:footer="158" w:bottom="82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Verdana">
    <w:charset w:val="00"/>
    <w:family w:val="roman"/>
    <w:pitch w:val="variable"/>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cs="Calibri"/>
        <w:b/>
        <w:bCs/>
      </w:rPr>
    </w:pPr>
    <w:r>
      <w:rPr>
        <w:rFonts w:cs="Calibri"/>
        <w:b/>
        <w:bCs/>
      </w:rPr>
    </w:r>
  </w:p>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cs="Calibri"/>
        <w:b/>
        <w:bCs/>
      </w:rPr>
    </w:pPr>
    <w:r>
      <w:rPr>
        <w:rFonts w:cs="Calibri"/>
        <w:b/>
        <w:bCs/>
      </w:rPr>
    </w:r>
  </w:p>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0">
          <wp:simplePos x="0" y="0"/>
          <wp:positionH relativeFrom="column">
            <wp:posOffset>-226695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0">
          <wp:simplePos x="0" y="0"/>
          <wp:positionH relativeFrom="column">
            <wp:posOffset>-226695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bullet"/>
      <w:lvlText w:val=""/>
      <w:lvlJc w:val="left"/>
      <w:pPr>
        <w:tabs>
          <w:tab w:val="num" w:pos="788"/>
        </w:tabs>
        <w:ind w:left="788" w:hanging="360"/>
      </w:pPr>
      <w:rPr>
        <w:rFonts w:ascii="Wingdings" w:hAnsi="Wingdings" w:cs="Wingdings" w:hint="default"/>
        <w:sz w:val="19"/>
        <w:szCs w:val="19"/>
      </w:rPr>
    </w:lvl>
    <w:lvl w:ilvl="1">
      <w:start w:val="1"/>
      <w:numFmt w:val="bullet"/>
      <w:lvlText w:val="◦"/>
      <w:lvlJc w:val="left"/>
      <w:pPr>
        <w:tabs>
          <w:tab w:val="num" w:pos="1148"/>
        </w:tabs>
        <w:ind w:left="1148" w:hanging="360"/>
      </w:pPr>
      <w:rPr>
        <w:rFonts w:ascii="OpenSymbol" w:hAnsi="OpenSymbol" w:cs="OpenSymbol" w:hint="default"/>
        <w:sz w:val="19"/>
        <w:szCs w:val="19"/>
      </w:rPr>
    </w:lvl>
    <w:lvl w:ilvl="2">
      <w:start w:val="1"/>
      <w:numFmt w:val="bullet"/>
      <w:lvlText w:val="▪"/>
      <w:lvlJc w:val="left"/>
      <w:pPr>
        <w:tabs>
          <w:tab w:val="num" w:pos="1508"/>
        </w:tabs>
        <w:ind w:left="1508" w:hanging="360"/>
      </w:pPr>
      <w:rPr>
        <w:rFonts w:ascii="OpenSymbol" w:hAnsi="OpenSymbol" w:cs="OpenSymbol" w:hint="default"/>
        <w:sz w:val="19"/>
        <w:szCs w:val="19"/>
      </w:rPr>
    </w:lvl>
    <w:lvl w:ilvl="3">
      <w:start w:val="1"/>
      <w:numFmt w:val="bullet"/>
      <w:lvlText w:val=""/>
      <w:lvlJc w:val="left"/>
      <w:pPr>
        <w:tabs>
          <w:tab w:val="num" w:pos="1868"/>
        </w:tabs>
        <w:ind w:left="1868" w:hanging="360"/>
      </w:pPr>
      <w:rPr>
        <w:rFonts w:ascii="Symbol" w:hAnsi="Symbol" w:cs="Symbol" w:hint="default"/>
        <w:sz w:val="19"/>
        <w:szCs w:val="19"/>
      </w:rPr>
    </w:lvl>
    <w:lvl w:ilvl="4">
      <w:start w:val="1"/>
      <w:numFmt w:val="bullet"/>
      <w:lvlText w:val="◦"/>
      <w:lvlJc w:val="left"/>
      <w:pPr>
        <w:tabs>
          <w:tab w:val="num" w:pos="2228"/>
        </w:tabs>
        <w:ind w:left="2228" w:hanging="360"/>
      </w:pPr>
      <w:rPr>
        <w:rFonts w:ascii="OpenSymbol" w:hAnsi="OpenSymbol" w:cs="OpenSymbol" w:hint="default"/>
        <w:sz w:val="19"/>
        <w:szCs w:val="19"/>
      </w:rPr>
    </w:lvl>
    <w:lvl w:ilvl="5">
      <w:start w:val="1"/>
      <w:numFmt w:val="bullet"/>
      <w:lvlText w:val="▪"/>
      <w:lvlJc w:val="left"/>
      <w:pPr>
        <w:tabs>
          <w:tab w:val="num" w:pos="2588"/>
        </w:tabs>
        <w:ind w:left="2588" w:hanging="360"/>
      </w:pPr>
      <w:rPr>
        <w:rFonts w:ascii="OpenSymbol" w:hAnsi="OpenSymbol" w:cs="OpenSymbol" w:hint="default"/>
        <w:sz w:val="19"/>
        <w:szCs w:val="19"/>
      </w:rPr>
    </w:lvl>
    <w:lvl w:ilvl="6">
      <w:start w:val="1"/>
      <w:numFmt w:val="bullet"/>
      <w:lvlText w:val=""/>
      <w:lvlJc w:val="left"/>
      <w:pPr>
        <w:tabs>
          <w:tab w:val="num" w:pos="2948"/>
        </w:tabs>
        <w:ind w:left="2948" w:hanging="360"/>
      </w:pPr>
      <w:rPr>
        <w:rFonts w:ascii="Symbol" w:hAnsi="Symbol" w:cs="Symbol" w:hint="default"/>
        <w:sz w:val="19"/>
        <w:szCs w:val="19"/>
      </w:rPr>
    </w:lvl>
    <w:lvl w:ilvl="7">
      <w:start w:val="1"/>
      <w:numFmt w:val="bullet"/>
      <w:lvlText w:val="◦"/>
      <w:lvlJc w:val="left"/>
      <w:pPr>
        <w:tabs>
          <w:tab w:val="num" w:pos="3308"/>
        </w:tabs>
        <w:ind w:left="3308" w:hanging="360"/>
      </w:pPr>
      <w:rPr>
        <w:rFonts w:ascii="OpenSymbol" w:hAnsi="OpenSymbol" w:cs="OpenSymbol" w:hint="default"/>
        <w:sz w:val="19"/>
        <w:szCs w:val="19"/>
      </w:rPr>
    </w:lvl>
    <w:lvl w:ilvl="8">
      <w:start w:val="1"/>
      <w:numFmt w:val="bullet"/>
      <w:lvlText w:val="▪"/>
      <w:lvlJc w:val="left"/>
      <w:pPr>
        <w:tabs>
          <w:tab w:val="num" w:pos="3668"/>
        </w:tabs>
        <w:ind w:left="3668" w:hanging="360"/>
      </w:pPr>
      <w:rPr>
        <w:rFonts w:ascii="OpenSymbol" w:hAnsi="OpenSymbol" w:cs="OpenSymbol" w:hint="default"/>
        <w:sz w:val="19"/>
        <w:szCs w:val="19"/>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bering>
</file>

<file path=word/settings.xml><?xml version="1.0" encoding="utf-8"?>
<w:settings xmlns:w="http://schemas.openxmlformats.org/wordprocessingml/2006/main">
  <w:zoom w:percent="100"/>
  <w:defaultTabStop w:val="720"/>
  <w:autoHyphenation w:val="true"/>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fals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qFormat/>
    <w:rPr>
      <w:color w:val="000080"/>
      <w:u w:val="single"/>
    </w:rPr>
  </w:style>
  <w:style w:type="character" w:styleId="Hyperlink2" w:customStyle="1">
    <w:name w:val="Hyperlink2"/>
    <w:basedOn w:val="DefaultParagraphFont"/>
    <w:qFormat/>
    <w:rPr>
      <w:color w:val="0563C1"/>
      <w:u w:val="single"/>
    </w:rPr>
  </w:style>
  <w:style w:type="character" w:styleId="Marcadores" w:customStyle="1">
    <w:name w:val="Marcadores"/>
    <w:qFormat/>
    <w:rPr>
      <w:rFonts w:ascii="OpenSymbol" w:hAnsi="OpenSymbol" w:eastAsia="OpenSymbol" w:cs="OpenSymbol"/>
      <w:sz w:val="19"/>
      <w:szCs w:val="19"/>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customStyle="1">
    <w:name w:val="Internet Link5"/>
    <w:qFormat/>
    <w:rPr>
      <w:color w:val="000080"/>
      <w:u w:val="single"/>
    </w:rPr>
  </w:style>
  <w:style w:type="character" w:styleId="InternetLink6" w:customStyle="1">
    <w:name w:val="Internet Link6"/>
    <w:qFormat/>
    <w:rPr>
      <w:color w:val="000080"/>
      <w:u w:val="single"/>
    </w:rPr>
  </w:style>
  <w:style w:type="character" w:styleId="InternetLink7" w:customStyle="1">
    <w:name w:val="Internet Link7"/>
    <w:qFormat/>
    <w:rPr>
      <w:color w:val="000080"/>
      <w:u w:val="single"/>
    </w:rPr>
  </w:style>
  <w:style w:type="character" w:styleId="InternetLink8">
    <w:name w:val="Internet Link8"/>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customStyle="1">
    <w:name w:val="Cabeçalho e rodapé6"/>
    <w:basedOn w:val="Normal"/>
    <w:qFormat/>
    <w:pPr/>
    <w:rPr/>
  </w:style>
  <w:style w:type="paragraph" w:styleId="Cabealhoerodap7" w:customStyle="1">
    <w:name w:val="Cabeçalho e rodapé7"/>
    <w:basedOn w:val="Normal"/>
    <w:qFormat/>
    <w:pPr/>
    <w:rPr/>
  </w:style>
  <w:style w:type="paragraph" w:styleId="Cabealhoerodap8" w:customStyle="1">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qFormat/>
    <w:pPr>
      <w:widowControl/>
      <w:numPr>
        <w:ilvl w:val="0"/>
        <w:numId w:val="3"/>
      </w:numPr>
      <w:suppressAutoHyphens w:val="true"/>
      <w:overflowPunct w:val="fals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overflowPunct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normal1" w:customStyle="1">
    <w:name w:val="normal1"/>
    <w:qFormat/>
    <w:pPr>
      <w:widowControl/>
      <w:suppressAutoHyphens w:val="true"/>
      <w:overflowPunct w:val="false"/>
      <w:bidi w:val="0"/>
      <w:spacing w:before="0" w:after="0"/>
      <w:jc w:val="left"/>
    </w:pPr>
    <w:rPr>
      <w:rFonts w:ascii="Times New Roman" w:hAnsi="Times New Roman" w:eastAsia="NSimSun" w:cs="Arial"/>
      <w:color w:val="auto"/>
      <w:kern w:val="0"/>
      <w:sz w:val="20"/>
      <w:szCs w:val="20"/>
      <w:lang w:val="en-US" w:eastAsia="zh-CN" w:bidi="hi-IN"/>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http://www.portaldecompraspublicas.com.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523</TotalTime>
  <Application>LibreOffice/24.2.6.2$Windows_X86_64 LibreOffice_project/ef66aa7e36a1bb8e65bfbc63aba53045a14d0871</Application>
  <AppVersion>15.0000</AppVersion>
  <Pages>19</Pages>
  <Words>10025</Words>
  <Characters>56719</Characters>
  <CharactersWithSpaces>66329</CharactersWithSpaces>
  <Paragraphs>370</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2025-02-18T17:19:00Z</dcterms:created>
  <dc:creator>Compras</dc:creator>
  <dc:description/>
  <dc:language>pt-BR</dc:language>
  <cp:lastModifiedBy/>
  <cp:lastPrinted>2026-03-16T15:15:27Z</cp:lastPrinted>
  <dcterms:modified xsi:type="dcterms:W3CDTF">2026-04-02T08:43:12Z</dcterms:modified>
  <cp:revision>29</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